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C2" w:rsidRDefault="00492FC2" w:rsidP="002544F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544FC" w:rsidRPr="00C76CA8" w:rsidRDefault="002544FC" w:rsidP="002544FC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C76CA8">
        <w:rPr>
          <w:rFonts w:ascii="Arial" w:hAnsi="Arial" w:cs="Arial"/>
          <w:b/>
          <w:sz w:val="24"/>
          <w:szCs w:val="24"/>
        </w:rPr>
        <w:t>Presentación</w:t>
      </w:r>
    </w:p>
    <w:p w:rsidR="002D0181" w:rsidRPr="00C76CA8" w:rsidRDefault="002D0181" w:rsidP="002D01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6CA8">
        <w:rPr>
          <w:rFonts w:ascii="Arial" w:hAnsi="Arial" w:cs="Arial"/>
          <w:sz w:val="24"/>
          <w:szCs w:val="24"/>
        </w:rPr>
        <w:t xml:space="preserve">Con este Programa Anual de Trabajo se establece la calendarización de las actividades </w:t>
      </w:r>
      <w:r w:rsidR="001254AB">
        <w:rPr>
          <w:rFonts w:ascii="Arial" w:hAnsi="Arial" w:cs="Arial"/>
          <w:sz w:val="24"/>
          <w:szCs w:val="24"/>
        </w:rPr>
        <w:t>p</w:t>
      </w:r>
      <w:r w:rsidRPr="00C76CA8">
        <w:rPr>
          <w:rFonts w:ascii="Arial" w:hAnsi="Arial" w:cs="Arial"/>
          <w:sz w:val="24"/>
          <w:szCs w:val="24"/>
        </w:rPr>
        <w:t>arlamentarias de quienes integran esta Comisión</w:t>
      </w:r>
      <w:r w:rsidR="00B11D55">
        <w:rPr>
          <w:rFonts w:ascii="Arial" w:hAnsi="Arial" w:cs="Arial"/>
          <w:sz w:val="24"/>
          <w:szCs w:val="24"/>
        </w:rPr>
        <w:t xml:space="preserve"> para el segundo año legislativo</w:t>
      </w:r>
      <w:r w:rsidRPr="00C76CA8">
        <w:rPr>
          <w:rFonts w:ascii="Arial" w:hAnsi="Arial" w:cs="Arial"/>
          <w:sz w:val="24"/>
          <w:szCs w:val="24"/>
        </w:rPr>
        <w:t xml:space="preserve">, así, como las estrategias y directrices que se </w:t>
      </w:r>
      <w:r w:rsidR="0081407D" w:rsidRPr="00C76CA8">
        <w:rPr>
          <w:rFonts w:ascii="Arial" w:hAnsi="Arial" w:cs="Arial"/>
          <w:sz w:val="24"/>
          <w:szCs w:val="24"/>
        </w:rPr>
        <w:t>habrán</w:t>
      </w:r>
      <w:r w:rsidRPr="00C76CA8">
        <w:rPr>
          <w:rFonts w:ascii="Arial" w:hAnsi="Arial" w:cs="Arial"/>
          <w:sz w:val="24"/>
          <w:szCs w:val="24"/>
        </w:rPr>
        <w:t xml:space="preserve"> de seguir en un ámbito de consenso para procurar la debida protección</w:t>
      </w:r>
      <w:r w:rsidR="001254AB">
        <w:rPr>
          <w:rFonts w:ascii="Arial" w:hAnsi="Arial" w:cs="Arial"/>
          <w:sz w:val="24"/>
          <w:szCs w:val="24"/>
        </w:rPr>
        <w:t>, promoción y potencialización</w:t>
      </w:r>
      <w:r w:rsidRPr="00C76CA8">
        <w:rPr>
          <w:rFonts w:ascii="Arial" w:hAnsi="Arial" w:cs="Arial"/>
          <w:sz w:val="24"/>
          <w:szCs w:val="24"/>
        </w:rPr>
        <w:t xml:space="preserve"> </w:t>
      </w:r>
      <w:r w:rsidR="0081407D" w:rsidRPr="00C76CA8">
        <w:rPr>
          <w:rFonts w:ascii="Arial" w:hAnsi="Arial" w:cs="Arial"/>
          <w:sz w:val="24"/>
          <w:szCs w:val="24"/>
        </w:rPr>
        <w:t>del</w:t>
      </w:r>
      <w:r w:rsidRPr="00C76CA8">
        <w:rPr>
          <w:rFonts w:ascii="Arial" w:hAnsi="Arial" w:cs="Arial"/>
          <w:sz w:val="24"/>
          <w:szCs w:val="24"/>
        </w:rPr>
        <w:t xml:space="preserve"> sector pesquero y acuícola</w:t>
      </w:r>
      <w:r w:rsidR="0081407D" w:rsidRPr="00C76CA8">
        <w:rPr>
          <w:rFonts w:ascii="Arial" w:hAnsi="Arial" w:cs="Arial"/>
          <w:sz w:val="24"/>
          <w:szCs w:val="24"/>
        </w:rPr>
        <w:t>,</w:t>
      </w:r>
      <w:r w:rsidRPr="00C76CA8">
        <w:rPr>
          <w:rFonts w:ascii="Arial" w:hAnsi="Arial" w:cs="Arial"/>
          <w:sz w:val="24"/>
          <w:szCs w:val="24"/>
        </w:rPr>
        <w:t xml:space="preserve"> partiendo de la actualización y armonización del marco legislativo en la m</w:t>
      </w:r>
      <w:r w:rsidR="0081407D" w:rsidRPr="00C76CA8">
        <w:rPr>
          <w:rFonts w:ascii="Arial" w:hAnsi="Arial" w:cs="Arial"/>
          <w:sz w:val="24"/>
          <w:szCs w:val="24"/>
        </w:rPr>
        <w:t xml:space="preserve">ateria, para el fortalecimiento de las </w:t>
      </w:r>
      <w:r w:rsidR="001254AB">
        <w:rPr>
          <w:rFonts w:ascii="Arial" w:hAnsi="Arial" w:cs="Arial"/>
          <w:sz w:val="24"/>
          <w:szCs w:val="24"/>
        </w:rPr>
        <w:t>p</w:t>
      </w:r>
      <w:r w:rsidR="0081407D" w:rsidRPr="00C76CA8">
        <w:rPr>
          <w:rFonts w:ascii="Arial" w:hAnsi="Arial" w:cs="Arial"/>
          <w:sz w:val="24"/>
          <w:szCs w:val="24"/>
        </w:rPr>
        <w:t xml:space="preserve">olíticas </w:t>
      </w:r>
      <w:r w:rsidR="001254AB">
        <w:rPr>
          <w:rFonts w:ascii="Arial" w:hAnsi="Arial" w:cs="Arial"/>
          <w:sz w:val="24"/>
          <w:szCs w:val="24"/>
        </w:rPr>
        <w:t>p</w:t>
      </w:r>
      <w:r w:rsidR="001254AB" w:rsidRPr="00C76CA8">
        <w:rPr>
          <w:rFonts w:ascii="Arial" w:hAnsi="Arial" w:cs="Arial"/>
          <w:sz w:val="24"/>
          <w:szCs w:val="24"/>
        </w:rPr>
        <w:t>úblicas</w:t>
      </w:r>
      <w:r w:rsidR="0081407D" w:rsidRPr="00C76CA8">
        <w:rPr>
          <w:rFonts w:ascii="Arial" w:hAnsi="Arial" w:cs="Arial"/>
          <w:sz w:val="24"/>
          <w:szCs w:val="24"/>
        </w:rPr>
        <w:t xml:space="preserve"> que permitan consolidar estas actividades en un marco de sustentabilidad.</w:t>
      </w:r>
    </w:p>
    <w:p w:rsidR="0081407D" w:rsidRPr="00C76CA8" w:rsidRDefault="0081407D" w:rsidP="002D01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6CA8">
        <w:rPr>
          <w:rFonts w:ascii="Arial" w:hAnsi="Arial" w:cs="Arial"/>
          <w:sz w:val="24"/>
          <w:szCs w:val="24"/>
        </w:rPr>
        <w:t xml:space="preserve">En este documento, además, se definen los objetivos de la Comisión, se presentan los asuntos de su agenda legislativa, la forma en que se organizarán </w:t>
      </w:r>
      <w:r w:rsidR="001254AB">
        <w:rPr>
          <w:rFonts w:ascii="Arial" w:hAnsi="Arial" w:cs="Arial"/>
          <w:sz w:val="24"/>
          <w:szCs w:val="24"/>
        </w:rPr>
        <w:t xml:space="preserve">sus </w:t>
      </w:r>
      <w:r w:rsidRPr="00C76CA8">
        <w:rPr>
          <w:rFonts w:ascii="Arial" w:hAnsi="Arial" w:cs="Arial"/>
          <w:sz w:val="24"/>
          <w:szCs w:val="24"/>
        </w:rPr>
        <w:t>integrantes, así como las actividades</w:t>
      </w:r>
      <w:r w:rsidR="001254AB">
        <w:rPr>
          <w:rFonts w:ascii="Arial" w:hAnsi="Arial" w:cs="Arial"/>
          <w:sz w:val="24"/>
          <w:szCs w:val="24"/>
        </w:rPr>
        <w:t xml:space="preserve"> complementarias proyectadas</w:t>
      </w:r>
      <w:r w:rsidRPr="00C76CA8">
        <w:rPr>
          <w:rFonts w:ascii="Arial" w:hAnsi="Arial" w:cs="Arial"/>
          <w:sz w:val="24"/>
          <w:szCs w:val="24"/>
        </w:rPr>
        <w:t xml:space="preserve"> a desarrollar durante el </w:t>
      </w:r>
      <w:r w:rsidR="00F237CF">
        <w:rPr>
          <w:rFonts w:ascii="Arial" w:hAnsi="Arial" w:cs="Arial"/>
          <w:sz w:val="24"/>
          <w:szCs w:val="24"/>
        </w:rPr>
        <w:t>segundo</w:t>
      </w:r>
      <w:r w:rsidRPr="00C76CA8">
        <w:rPr>
          <w:rFonts w:ascii="Arial" w:hAnsi="Arial" w:cs="Arial"/>
          <w:sz w:val="24"/>
          <w:szCs w:val="24"/>
        </w:rPr>
        <w:t xml:space="preserve"> año de ejercicio.</w:t>
      </w:r>
    </w:p>
    <w:p w:rsidR="002544FC" w:rsidRPr="00C76CA8" w:rsidRDefault="002544FC" w:rsidP="002544FC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C76CA8">
        <w:rPr>
          <w:rFonts w:ascii="Arial" w:hAnsi="Arial" w:cs="Arial"/>
          <w:b/>
          <w:sz w:val="24"/>
          <w:szCs w:val="24"/>
        </w:rPr>
        <w:t xml:space="preserve">Marco </w:t>
      </w:r>
      <w:r w:rsidR="0081407D" w:rsidRPr="00C76CA8">
        <w:rPr>
          <w:rFonts w:ascii="Arial" w:hAnsi="Arial" w:cs="Arial"/>
          <w:b/>
          <w:sz w:val="24"/>
          <w:szCs w:val="24"/>
        </w:rPr>
        <w:t xml:space="preserve">Jurídico </w:t>
      </w:r>
    </w:p>
    <w:p w:rsidR="0081407D" w:rsidRDefault="002544FC" w:rsidP="002D01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6CA8">
        <w:rPr>
          <w:rFonts w:ascii="Arial" w:hAnsi="Arial" w:cs="Arial"/>
          <w:sz w:val="24"/>
          <w:szCs w:val="24"/>
        </w:rPr>
        <w:t>De conformidad con</w:t>
      </w:r>
      <w:r w:rsidR="0081407D" w:rsidRPr="00C76CA8">
        <w:rPr>
          <w:rFonts w:ascii="Arial" w:hAnsi="Arial" w:cs="Arial"/>
          <w:sz w:val="24"/>
          <w:szCs w:val="24"/>
        </w:rPr>
        <w:t xml:space="preserve"> </w:t>
      </w:r>
      <w:r w:rsidRPr="00C76CA8">
        <w:rPr>
          <w:rFonts w:ascii="Arial" w:hAnsi="Arial" w:cs="Arial"/>
          <w:sz w:val="24"/>
          <w:szCs w:val="24"/>
        </w:rPr>
        <w:t xml:space="preserve">lo establecido en el artículo 39, numeral 1 y 2 fracción XXIX y artículo 45, numeral 6 de la Ley Orgánica del Congreso General de los Estados Unidos Mexicanos; el artículo 158 numeral 1 fracción II del Reglamento de la Cámara de Diputados del </w:t>
      </w:r>
      <w:r w:rsidR="0081407D" w:rsidRPr="00C76CA8">
        <w:rPr>
          <w:rFonts w:ascii="Arial" w:hAnsi="Arial" w:cs="Arial"/>
          <w:sz w:val="24"/>
          <w:szCs w:val="24"/>
        </w:rPr>
        <w:t xml:space="preserve">Honorable Congreso de la Unión y derivado del Acuerdo de la Junta de Coordinación Política de fecha </w:t>
      </w:r>
      <w:r w:rsidR="00373CB4">
        <w:rPr>
          <w:rFonts w:ascii="Arial" w:hAnsi="Arial" w:cs="Arial"/>
          <w:sz w:val="24"/>
          <w:szCs w:val="24"/>
        </w:rPr>
        <w:t>27 de septiembre del 2018</w:t>
      </w:r>
      <w:r w:rsidR="0081407D" w:rsidRPr="00C76CA8">
        <w:rPr>
          <w:rFonts w:ascii="Arial" w:hAnsi="Arial" w:cs="Arial"/>
          <w:sz w:val="24"/>
          <w:szCs w:val="24"/>
        </w:rPr>
        <w:t xml:space="preserve">, publicado en la Gaceta Parlamentaria </w:t>
      </w:r>
      <w:r w:rsidR="00373CB4">
        <w:rPr>
          <w:rFonts w:ascii="Arial" w:hAnsi="Arial" w:cs="Arial"/>
          <w:sz w:val="24"/>
          <w:szCs w:val="24"/>
        </w:rPr>
        <w:t>de misma fecha</w:t>
      </w:r>
      <w:r w:rsidR="0081407D" w:rsidRPr="00C76CA8">
        <w:rPr>
          <w:rFonts w:ascii="Arial" w:hAnsi="Arial" w:cs="Arial"/>
          <w:sz w:val="24"/>
          <w:szCs w:val="24"/>
        </w:rPr>
        <w:t xml:space="preserve"> que señala la integración de las 46 Comisiones Ordinarias de la LXIV Legislatura</w:t>
      </w:r>
      <w:r w:rsidR="001254AB">
        <w:rPr>
          <w:rFonts w:ascii="Arial" w:hAnsi="Arial" w:cs="Arial"/>
          <w:sz w:val="24"/>
          <w:szCs w:val="24"/>
        </w:rPr>
        <w:t>;</w:t>
      </w:r>
      <w:r w:rsidR="0081407D" w:rsidRPr="00C76CA8">
        <w:rPr>
          <w:rFonts w:ascii="Arial" w:hAnsi="Arial" w:cs="Arial"/>
          <w:sz w:val="24"/>
          <w:szCs w:val="24"/>
        </w:rPr>
        <w:t xml:space="preserve"> la Comisión de Pesca, </w:t>
      </w:r>
      <w:r w:rsidRPr="00C76CA8">
        <w:rPr>
          <w:rFonts w:ascii="Arial" w:hAnsi="Arial" w:cs="Arial"/>
          <w:sz w:val="24"/>
          <w:szCs w:val="24"/>
        </w:rPr>
        <w:t xml:space="preserve">presenta el </w:t>
      </w:r>
      <w:r w:rsidR="00222E92">
        <w:rPr>
          <w:rFonts w:ascii="Arial" w:hAnsi="Arial" w:cs="Arial"/>
          <w:b/>
          <w:i/>
          <w:sz w:val="24"/>
          <w:szCs w:val="24"/>
        </w:rPr>
        <w:t>Segundo</w:t>
      </w:r>
      <w:r w:rsidRPr="00C76CA8">
        <w:rPr>
          <w:rFonts w:ascii="Arial" w:hAnsi="Arial" w:cs="Arial"/>
          <w:b/>
          <w:i/>
          <w:sz w:val="24"/>
          <w:szCs w:val="24"/>
        </w:rPr>
        <w:t xml:space="preserve"> Programa Anual de Trabajo </w:t>
      </w:r>
      <w:r w:rsidR="001254AB" w:rsidRPr="001254AB">
        <w:rPr>
          <w:rFonts w:ascii="Arial" w:hAnsi="Arial" w:cs="Arial"/>
          <w:sz w:val="24"/>
          <w:szCs w:val="24"/>
        </w:rPr>
        <w:t>para el desarrollo de sus funciones</w:t>
      </w:r>
      <w:r w:rsidR="001254AB">
        <w:rPr>
          <w:rFonts w:ascii="Arial" w:hAnsi="Arial" w:cs="Arial"/>
          <w:b/>
          <w:i/>
          <w:sz w:val="24"/>
          <w:szCs w:val="24"/>
        </w:rPr>
        <w:t xml:space="preserve"> </w:t>
      </w:r>
      <w:r w:rsidR="001254AB">
        <w:rPr>
          <w:rFonts w:ascii="Arial" w:hAnsi="Arial" w:cs="Arial"/>
          <w:sz w:val="24"/>
          <w:szCs w:val="24"/>
        </w:rPr>
        <w:t xml:space="preserve">para el </w:t>
      </w:r>
      <w:r w:rsidR="00B11D55">
        <w:rPr>
          <w:rFonts w:ascii="Arial" w:hAnsi="Arial" w:cs="Arial"/>
          <w:sz w:val="24"/>
          <w:szCs w:val="24"/>
        </w:rPr>
        <w:t xml:space="preserve">Segundo año de </w:t>
      </w:r>
      <w:r w:rsidRPr="00C76CA8">
        <w:rPr>
          <w:rFonts w:ascii="Arial" w:hAnsi="Arial" w:cs="Arial"/>
          <w:sz w:val="24"/>
          <w:szCs w:val="24"/>
        </w:rPr>
        <w:t>la LXIV Leg</w:t>
      </w:r>
      <w:r w:rsidR="0081407D" w:rsidRPr="00C76CA8">
        <w:rPr>
          <w:rFonts w:ascii="Arial" w:hAnsi="Arial" w:cs="Arial"/>
          <w:sz w:val="24"/>
          <w:szCs w:val="24"/>
        </w:rPr>
        <w:t>islatura.</w:t>
      </w:r>
    </w:p>
    <w:p w:rsidR="00B11D55" w:rsidRDefault="00B11D55" w:rsidP="002D01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544FC" w:rsidRPr="00C76CA8" w:rsidRDefault="0007047E" w:rsidP="0081407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6CA8">
        <w:rPr>
          <w:rFonts w:ascii="Arial" w:hAnsi="Arial" w:cs="Arial"/>
          <w:b/>
          <w:sz w:val="24"/>
          <w:szCs w:val="24"/>
        </w:rPr>
        <w:t>Misión</w:t>
      </w:r>
    </w:p>
    <w:p w:rsidR="0007047E" w:rsidRPr="00C76CA8" w:rsidRDefault="0007047E" w:rsidP="000704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6CA8">
        <w:rPr>
          <w:rFonts w:ascii="Arial" w:hAnsi="Arial" w:cs="Arial"/>
          <w:sz w:val="24"/>
          <w:szCs w:val="24"/>
        </w:rPr>
        <w:t xml:space="preserve">Esta Comisión se constituye como una instancia para legislar y realizar acciones parlamentarias tendientes a difundir y promover las tareas que le son encargadas, encaminadas a atender el avance y la problemática existente en materia pesquera y acuícola, reforzando el trabajo legislativo, la asignación presupuestal, e impulsando políticas </w:t>
      </w:r>
      <w:r w:rsidR="006413EF" w:rsidRPr="00C76CA8">
        <w:rPr>
          <w:rFonts w:ascii="Arial" w:hAnsi="Arial" w:cs="Arial"/>
          <w:sz w:val="24"/>
          <w:szCs w:val="24"/>
        </w:rPr>
        <w:t>públicas</w:t>
      </w:r>
      <w:r w:rsidRPr="00C76CA8">
        <w:rPr>
          <w:rFonts w:ascii="Arial" w:hAnsi="Arial" w:cs="Arial"/>
          <w:sz w:val="24"/>
          <w:szCs w:val="24"/>
        </w:rPr>
        <w:t xml:space="preserve"> más eficientes y efectivas.</w:t>
      </w:r>
    </w:p>
    <w:p w:rsidR="0007047E" w:rsidRPr="00C76CA8" w:rsidRDefault="0007047E" w:rsidP="0007047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6CA8">
        <w:rPr>
          <w:rFonts w:ascii="Arial" w:hAnsi="Arial" w:cs="Arial"/>
          <w:b/>
          <w:sz w:val="24"/>
          <w:szCs w:val="24"/>
        </w:rPr>
        <w:t xml:space="preserve">Visión </w:t>
      </w:r>
    </w:p>
    <w:p w:rsidR="0007047E" w:rsidRPr="00C76CA8" w:rsidRDefault="0007047E" w:rsidP="000704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6CA8">
        <w:rPr>
          <w:rFonts w:ascii="Arial" w:hAnsi="Arial" w:cs="Arial"/>
          <w:sz w:val="24"/>
          <w:szCs w:val="24"/>
        </w:rPr>
        <w:t>Ser el órgano en materia Pesquera y Acuícola de la Cámara de Diputados, que funja como referente del alto compromiso de las y los legisladores integrantes de la Comisión, para garantizar la correcta aplicación y funcionamiento de la normatividad en la materia, en un ambiente de trabajo  plural, incluyente, eficiente y transparente para la transversalidad y armonización del sistema legal mexicano referente al sector, teniendo siempre como premisa que cada decisión tomada en el seno de su Mesa Directiva y Pleno sea consensuada en beneficio del sector.</w:t>
      </w:r>
    </w:p>
    <w:p w:rsidR="0007047E" w:rsidRPr="00C76CA8" w:rsidRDefault="00220570" w:rsidP="0007047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6CA8">
        <w:rPr>
          <w:rFonts w:ascii="Arial" w:hAnsi="Arial" w:cs="Arial"/>
          <w:b/>
          <w:sz w:val="24"/>
          <w:szCs w:val="24"/>
        </w:rPr>
        <w:t>Objetivo</w:t>
      </w:r>
    </w:p>
    <w:p w:rsidR="0007047E" w:rsidRPr="00C76CA8" w:rsidRDefault="0007047E" w:rsidP="000704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6CA8">
        <w:rPr>
          <w:rFonts w:ascii="Arial" w:hAnsi="Arial" w:cs="Arial"/>
          <w:sz w:val="24"/>
          <w:szCs w:val="24"/>
        </w:rPr>
        <w:t xml:space="preserve">La </w:t>
      </w:r>
      <w:r w:rsidR="00220570" w:rsidRPr="00C76CA8">
        <w:rPr>
          <w:rFonts w:ascii="Arial" w:hAnsi="Arial" w:cs="Arial"/>
          <w:sz w:val="24"/>
          <w:szCs w:val="24"/>
        </w:rPr>
        <w:t>Comisión</w:t>
      </w:r>
      <w:r w:rsidRPr="00C76CA8">
        <w:rPr>
          <w:rFonts w:ascii="Arial" w:hAnsi="Arial" w:cs="Arial"/>
          <w:sz w:val="24"/>
          <w:szCs w:val="24"/>
        </w:rPr>
        <w:t xml:space="preserve"> de Pesca de la </w:t>
      </w:r>
      <w:r w:rsidR="00220570" w:rsidRPr="00C76CA8">
        <w:rPr>
          <w:rFonts w:ascii="Arial" w:hAnsi="Arial" w:cs="Arial"/>
          <w:sz w:val="24"/>
          <w:szCs w:val="24"/>
        </w:rPr>
        <w:t>Cámara</w:t>
      </w:r>
      <w:r w:rsidRPr="00C76CA8">
        <w:rPr>
          <w:rFonts w:ascii="Arial" w:hAnsi="Arial" w:cs="Arial"/>
          <w:sz w:val="24"/>
          <w:szCs w:val="24"/>
        </w:rPr>
        <w:t xml:space="preserve"> de Diputados se constituye como herramienta plural para el desahogo de los asuntos materia Pesquera y </w:t>
      </w:r>
      <w:r w:rsidR="00220570" w:rsidRPr="00C76CA8">
        <w:rPr>
          <w:rFonts w:ascii="Arial" w:hAnsi="Arial" w:cs="Arial"/>
          <w:sz w:val="24"/>
          <w:szCs w:val="24"/>
        </w:rPr>
        <w:t>Acuícola</w:t>
      </w:r>
      <w:r w:rsidR="001254AB">
        <w:rPr>
          <w:rFonts w:ascii="Arial" w:hAnsi="Arial" w:cs="Arial"/>
          <w:sz w:val="24"/>
          <w:szCs w:val="24"/>
        </w:rPr>
        <w:t xml:space="preserve"> N</w:t>
      </w:r>
      <w:r w:rsidRPr="00C76CA8">
        <w:rPr>
          <w:rFonts w:ascii="Arial" w:hAnsi="Arial" w:cs="Arial"/>
          <w:sz w:val="24"/>
          <w:szCs w:val="24"/>
        </w:rPr>
        <w:t>acional que corresponden al Poder Legislativo.</w:t>
      </w:r>
    </w:p>
    <w:p w:rsidR="006413EF" w:rsidRDefault="0007047E" w:rsidP="000704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6CA8">
        <w:rPr>
          <w:rFonts w:ascii="Arial" w:hAnsi="Arial" w:cs="Arial"/>
          <w:sz w:val="24"/>
          <w:szCs w:val="24"/>
        </w:rPr>
        <w:t xml:space="preserve">Su objetivo es continuar con la promoción, en </w:t>
      </w:r>
      <w:r w:rsidR="00220570" w:rsidRPr="00C76CA8">
        <w:rPr>
          <w:rFonts w:ascii="Arial" w:hAnsi="Arial" w:cs="Arial"/>
          <w:sz w:val="24"/>
          <w:szCs w:val="24"/>
        </w:rPr>
        <w:t xml:space="preserve">el </w:t>
      </w:r>
      <w:r w:rsidRPr="00C76CA8">
        <w:rPr>
          <w:rFonts w:ascii="Arial" w:hAnsi="Arial" w:cs="Arial"/>
          <w:sz w:val="24"/>
          <w:szCs w:val="24"/>
        </w:rPr>
        <w:t>ámbito de</w:t>
      </w:r>
      <w:r w:rsidR="00220570" w:rsidRPr="00C76CA8">
        <w:rPr>
          <w:rFonts w:ascii="Arial" w:hAnsi="Arial" w:cs="Arial"/>
          <w:sz w:val="24"/>
          <w:szCs w:val="24"/>
        </w:rPr>
        <w:t xml:space="preserve"> su competencia, de </w:t>
      </w:r>
      <w:r w:rsidR="001254AB">
        <w:rPr>
          <w:rFonts w:ascii="Arial" w:hAnsi="Arial" w:cs="Arial"/>
          <w:sz w:val="24"/>
          <w:szCs w:val="24"/>
        </w:rPr>
        <w:t>las</w:t>
      </w:r>
      <w:r w:rsidR="00220570" w:rsidRPr="00C76CA8">
        <w:rPr>
          <w:rFonts w:ascii="Arial" w:hAnsi="Arial" w:cs="Arial"/>
          <w:sz w:val="24"/>
          <w:szCs w:val="24"/>
        </w:rPr>
        <w:t xml:space="preserve"> </w:t>
      </w:r>
      <w:r w:rsidR="001254AB">
        <w:rPr>
          <w:rFonts w:ascii="Arial" w:hAnsi="Arial" w:cs="Arial"/>
          <w:sz w:val="24"/>
          <w:szCs w:val="24"/>
        </w:rPr>
        <w:t>p</w:t>
      </w:r>
      <w:r w:rsidR="00220570" w:rsidRPr="00C76CA8">
        <w:rPr>
          <w:rFonts w:ascii="Arial" w:hAnsi="Arial" w:cs="Arial"/>
          <w:sz w:val="24"/>
          <w:szCs w:val="24"/>
        </w:rPr>
        <w:t xml:space="preserve">olíticas en materia </w:t>
      </w:r>
      <w:r w:rsidR="001254AB" w:rsidRPr="00C76CA8">
        <w:rPr>
          <w:rFonts w:ascii="Arial" w:hAnsi="Arial" w:cs="Arial"/>
          <w:sz w:val="24"/>
          <w:szCs w:val="24"/>
        </w:rPr>
        <w:t xml:space="preserve">Pesquera y </w:t>
      </w:r>
      <w:r w:rsidR="00220570" w:rsidRPr="00C76CA8">
        <w:rPr>
          <w:rFonts w:ascii="Arial" w:hAnsi="Arial" w:cs="Arial"/>
          <w:sz w:val="24"/>
          <w:szCs w:val="24"/>
        </w:rPr>
        <w:t xml:space="preserve">Acuícola que atiendan y vinculen a los distintos órdenes de gobierno con la sociedad y quienes se involucran en los procesos y en la cadena de valor de esta actividad, a través de las facultades que le confieren la </w:t>
      </w:r>
      <w:r w:rsidR="00220570" w:rsidRPr="00C76CA8">
        <w:rPr>
          <w:rFonts w:ascii="Arial" w:hAnsi="Arial" w:cs="Arial"/>
          <w:sz w:val="24"/>
          <w:szCs w:val="24"/>
        </w:rPr>
        <w:lastRenderedPageBreak/>
        <w:t>Constitución, la Ley Orgánica del Congreso General y demás ordenamientos relativos y aplicables.</w:t>
      </w:r>
    </w:p>
    <w:p w:rsidR="00220570" w:rsidRPr="00C76CA8" w:rsidRDefault="00220570" w:rsidP="0022057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6CA8">
        <w:rPr>
          <w:rFonts w:ascii="Arial" w:hAnsi="Arial" w:cs="Arial"/>
          <w:b/>
          <w:sz w:val="24"/>
          <w:szCs w:val="24"/>
        </w:rPr>
        <w:t xml:space="preserve">Líneas de acción </w:t>
      </w:r>
    </w:p>
    <w:p w:rsidR="00220570" w:rsidRPr="001254AB" w:rsidRDefault="00220570" w:rsidP="008357D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54AB">
        <w:rPr>
          <w:rFonts w:ascii="Arial" w:hAnsi="Arial" w:cs="Arial"/>
          <w:b/>
          <w:sz w:val="24"/>
          <w:szCs w:val="24"/>
        </w:rPr>
        <w:t xml:space="preserve">Legislativas </w:t>
      </w:r>
    </w:p>
    <w:p w:rsidR="00220570" w:rsidRPr="00C76CA8" w:rsidRDefault="00220570" w:rsidP="0022057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6CA8">
        <w:rPr>
          <w:rFonts w:ascii="Arial" w:hAnsi="Arial" w:cs="Arial"/>
          <w:sz w:val="24"/>
          <w:szCs w:val="24"/>
        </w:rPr>
        <w:t xml:space="preserve">Promover el análisis de la Ley General de Pesca y Acuacultura Sustentables y las referentes en materia de Pesca y Acuícola Nacional, con la finalidad de </w:t>
      </w:r>
      <w:r w:rsidR="001254AB">
        <w:rPr>
          <w:rFonts w:ascii="Arial" w:hAnsi="Arial" w:cs="Arial"/>
          <w:sz w:val="24"/>
          <w:szCs w:val="24"/>
        </w:rPr>
        <w:t>atender</w:t>
      </w:r>
      <w:r w:rsidRPr="00C76CA8">
        <w:rPr>
          <w:rFonts w:ascii="Arial" w:hAnsi="Arial" w:cs="Arial"/>
          <w:sz w:val="24"/>
          <w:szCs w:val="24"/>
        </w:rPr>
        <w:t xml:space="preserve"> aquellas iniciativas necesarias para su actualización y congruencia con la importancia del sector y la realidad social. </w:t>
      </w:r>
    </w:p>
    <w:p w:rsidR="00220570" w:rsidRPr="00C76CA8" w:rsidRDefault="00220570" w:rsidP="0022057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6CA8">
        <w:rPr>
          <w:rFonts w:ascii="Arial" w:hAnsi="Arial" w:cs="Arial"/>
          <w:sz w:val="24"/>
          <w:szCs w:val="24"/>
        </w:rPr>
        <w:t xml:space="preserve">Promover los acuerdos parlamentarios necesarios para </w:t>
      </w:r>
      <w:r w:rsidR="001254AB">
        <w:rPr>
          <w:rFonts w:ascii="Arial" w:hAnsi="Arial" w:cs="Arial"/>
          <w:sz w:val="24"/>
          <w:szCs w:val="24"/>
        </w:rPr>
        <w:t>destacar</w:t>
      </w:r>
      <w:r w:rsidRPr="00C76CA8">
        <w:rPr>
          <w:rFonts w:ascii="Arial" w:hAnsi="Arial" w:cs="Arial"/>
          <w:sz w:val="24"/>
          <w:szCs w:val="24"/>
        </w:rPr>
        <w:t xml:space="preserve"> las principales problemáticas en la materia y procurar la certidumbre de quienes integran el sector Pesquero y Acuícola Nacional.</w:t>
      </w:r>
    </w:p>
    <w:p w:rsidR="00220570" w:rsidRPr="00C76CA8" w:rsidRDefault="008357D3" w:rsidP="0022057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6CA8">
        <w:rPr>
          <w:rFonts w:ascii="Arial" w:hAnsi="Arial" w:cs="Arial"/>
          <w:sz w:val="24"/>
          <w:szCs w:val="24"/>
        </w:rPr>
        <w:t>Promover la asignación de m</w:t>
      </w:r>
      <w:bookmarkStart w:id="0" w:name="_GoBack"/>
      <w:bookmarkEnd w:id="0"/>
      <w:r w:rsidRPr="00C76CA8">
        <w:rPr>
          <w:rFonts w:ascii="Arial" w:hAnsi="Arial" w:cs="Arial"/>
          <w:sz w:val="24"/>
          <w:szCs w:val="24"/>
        </w:rPr>
        <w:t>ayores recursos en la opinión al Proyecto de Presupuestos de Egresos de la Federación para el ejercicio fiscal 20</w:t>
      </w:r>
      <w:r w:rsidR="00492FC2">
        <w:rPr>
          <w:rFonts w:ascii="Arial" w:hAnsi="Arial" w:cs="Arial"/>
          <w:sz w:val="24"/>
          <w:szCs w:val="24"/>
        </w:rPr>
        <w:t>20</w:t>
      </w:r>
      <w:r w:rsidRPr="00C76CA8">
        <w:rPr>
          <w:rFonts w:ascii="Arial" w:hAnsi="Arial" w:cs="Arial"/>
          <w:sz w:val="24"/>
          <w:szCs w:val="24"/>
        </w:rPr>
        <w:t>, en lo referente a los rubros y programas para beneficio del sector.</w:t>
      </w:r>
    </w:p>
    <w:p w:rsidR="008357D3" w:rsidRDefault="008357D3" w:rsidP="0022057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6CA8">
        <w:rPr>
          <w:rFonts w:ascii="Arial" w:hAnsi="Arial" w:cs="Arial"/>
          <w:sz w:val="24"/>
          <w:szCs w:val="24"/>
        </w:rPr>
        <w:t>Promover una constante evaluación de la labor legislativa de esta comisión en aras de fortalecer la transparencia y rendición de cuenta</w:t>
      </w:r>
      <w:r w:rsidR="004A1404">
        <w:rPr>
          <w:rFonts w:ascii="Arial" w:hAnsi="Arial" w:cs="Arial"/>
          <w:sz w:val="24"/>
          <w:szCs w:val="24"/>
        </w:rPr>
        <w:t xml:space="preserve">s ante la sociedad, durante el </w:t>
      </w:r>
      <w:r w:rsidR="00492FC2">
        <w:rPr>
          <w:rFonts w:ascii="Arial" w:hAnsi="Arial" w:cs="Arial"/>
          <w:sz w:val="24"/>
          <w:szCs w:val="24"/>
        </w:rPr>
        <w:t>Segundo</w:t>
      </w:r>
      <w:r w:rsidR="004A1404">
        <w:rPr>
          <w:rFonts w:ascii="Arial" w:hAnsi="Arial" w:cs="Arial"/>
          <w:sz w:val="24"/>
          <w:szCs w:val="24"/>
        </w:rPr>
        <w:t xml:space="preserve"> A</w:t>
      </w:r>
      <w:r w:rsidRPr="00C76CA8">
        <w:rPr>
          <w:rFonts w:ascii="Arial" w:hAnsi="Arial" w:cs="Arial"/>
          <w:sz w:val="24"/>
          <w:szCs w:val="24"/>
        </w:rPr>
        <w:t xml:space="preserve">ño de </w:t>
      </w:r>
      <w:r w:rsidR="004A1404">
        <w:rPr>
          <w:rFonts w:ascii="Arial" w:hAnsi="Arial" w:cs="Arial"/>
          <w:sz w:val="24"/>
          <w:szCs w:val="24"/>
        </w:rPr>
        <w:t>A</w:t>
      </w:r>
      <w:r w:rsidRPr="00C76CA8">
        <w:rPr>
          <w:rFonts w:ascii="Arial" w:hAnsi="Arial" w:cs="Arial"/>
          <w:sz w:val="24"/>
          <w:szCs w:val="24"/>
        </w:rPr>
        <w:t>ctividades de la LXIV Legislatura.</w:t>
      </w:r>
    </w:p>
    <w:p w:rsidR="006413EF" w:rsidRDefault="00B06F40" w:rsidP="0022057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través de las </w:t>
      </w:r>
      <w:r w:rsidR="006413EF">
        <w:rPr>
          <w:rFonts w:ascii="Arial" w:hAnsi="Arial" w:cs="Arial"/>
          <w:sz w:val="24"/>
          <w:szCs w:val="24"/>
        </w:rPr>
        <w:t xml:space="preserve">subcomisiones </w:t>
      </w:r>
      <w:r>
        <w:rPr>
          <w:rFonts w:ascii="Arial" w:hAnsi="Arial" w:cs="Arial"/>
          <w:sz w:val="24"/>
          <w:szCs w:val="24"/>
        </w:rPr>
        <w:t>enlistadas, se buscará fortalecer la atención de</w:t>
      </w:r>
      <w:r w:rsidR="006413EF">
        <w:rPr>
          <w:rFonts w:ascii="Arial" w:hAnsi="Arial" w:cs="Arial"/>
          <w:sz w:val="24"/>
          <w:szCs w:val="24"/>
        </w:rPr>
        <w:t xml:space="preserve"> los temas estratégicos del sector, como son:</w:t>
      </w:r>
    </w:p>
    <w:p w:rsidR="006413EF" w:rsidRDefault="00492FC2" w:rsidP="006413E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Seguimiento de la Pesca R</w:t>
      </w:r>
      <w:r w:rsidR="006413EF">
        <w:rPr>
          <w:rFonts w:ascii="Arial" w:hAnsi="Arial" w:cs="Arial"/>
          <w:sz w:val="24"/>
          <w:szCs w:val="24"/>
        </w:rPr>
        <w:t>ibereña</w:t>
      </w:r>
      <w:r>
        <w:rPr>
          <w:rFonts w:ascii="Arial" w:hAnsi="Arial" w:cs="Arial"/>
          <w:sz w:val="24"/>
          <w:szCs w:val="24"/>
        </w:rPr>
        <w:t xml:space="preserve"> en el Litoral del Pacífico.</w:t>
      </w:r>
    </w:p>
    <w:p w:rsidR="00492FC2" w:rsidRDefault="00492FC2" w:rsidP="006413E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Seguimiento de la Pesca Ribereña en el Golfo de México y Mar Caribe.</w:t>
      </w:r>
    </w:p>
    <w:p w:rsidR="00492FC2" w:rsidRDefault="00492FC2" w:rsidP="006413E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Seguimiento de la Pesca de Altamar en el Litoral del Pacífico.</w:t>
      </w:r>
    </w:p>
    <w:p w:rsidR="00492FC2" w:rsidRDefault="00492FC2" w:rsidP="006413E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Seguimiento de la Pesca de Altamar en el Golfo de México y Mar Caribe.</w:t>
      </w:r>
    </w:p>
    <w:p w:rsidR="006413EF" w:rsidRDefault="00492FC2" w:rsidP="006413E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Seguimiento de la </w:t>
      </w:r>
      <w:r w:rsidR="008001D1">
        <w:rPr>
          <w:rFonts w:ascii="Arial" w:hAnsi="Arial" w:cs="Arial"/>
          <w:sz w:val="24"/>
          <w:szCs w:val="24"/>
        </w:rPr>
        <w:t>Acuacultura.</w:t>
      </w:r>
    </w:p>
    <w:p w:rsidR="008001D1" w:rsidRDefault="008001D1" w:rsidP="006413E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Seguimiento de la Maricultura en el Litoral del Pacífico.</w:t>
      </w:r>
    </w:p>
    <w:p w:rsidR="008001D1" w:rsidRDefault="008001D1" w:rsidP="006413E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Seguimiento de la Maricultura en el Golfo de México y Mar Caribe.</w:t>
      </w:r>
    </w:p>
    <w:p w:rsidR="008001D1" w:rsidRDefault="008001D1" w:rsidP="006413E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Investigación en el Litoral del Pacífico, Golfo de México y Mar Caribe.</w:t>
      </w:r>
    </w:p>
    <w:p w:rsidR="008001D1" w:rsidRDefault="008001D1" w:rsidP="008001D1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6413EF" w:rsidRDefault="00B06F40" w:rsidP="006413E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Continuar con</w:t>
      </w:r>
      <w:r w:rsidR="006413EF">
        <w:rPr>
          <w:rFonts w:ascii="Arial" w:hAnsi="Arial" w:cs="Arial"/>
          <w:sz w:val="24"/>
          <w:szCs w:val="24"/>
        </w:rPr>
        <w:t xml:space="preserve"> la realización de foros, mesas de trabajo, conservatorios, paneles, encuentros regionales, y demás actividades encaminadas al fortalecimiento del trabajo parlamentario en la Comisión.</w:t>
      </w:r>
    </w:p>
    <w:p w:rsidR="006413EF" w:rsidRPr="006413EF" w:rsidRDefault="00B06F40" w:rsidP="006413E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Fortalecer y dar continuidad a la</w:t>
      </w:r>
      <w:r w:rsidR="006413EF">
        <w:rPr>
          <w:rFonts w:ascii="Arial" w:hAnsi="Arial" w:cs="Arial"/>
          <w:sz w:val="24"/>
          <w:szCs w:val="24"/>
        </w:rPr>
        <w:t xml:space="preserve"> capacitación constante en materia Pesquera y Acuícola a través del diseño y programación de diplomados, cursos, talleres y demás actividades académicas tendientes </w:t>
      </w:r>
      <w:r w:rsidR="00C61C45">
        <w:rPr>
          <w:rFonts w:ascii="Arial" w:hAnsi="Arial" w:cs="Arial"/>
          <w:sz w:val="24"/>
          <w:szCs w:val="24"/>
        </w:rPr>
        <w:t>al desarrollo, ampliación y profundización de conocimientos en la materia.</w:t>
      </w:r>
    </w:p>
    <w:p w:rsidR="004A1404" w:rsidRPr="004A1404" w:rsidRDefault="004A1404" w:rsidP="004A1404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357D3" w:rsidRPr="004A1404" w:rsidRDefault="008357D3" w:rsidP="008357D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1404">
        <w:rPr>
          <w:rFonts w:ascii="Arial" w:hAnsi="Arial" w:cs="Arial"/>
          <w:b/>
          <w:sz w:val="24"/>
          <w:szCs w:val="24"/>
        </w:rPr>
        <w:t>De atención y gestión para el sector</w:t>
      </w:r>
    </w:p>
    <w:p w:rsidR="008357D3" w:rsidRPr="00C76CA8" w:rsidRDefault="008357D3" w:rsidP="008357D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6CA8">
        <w:rPr>
          <w:rFonts w:ascii="Arial" w:hAnsi="Arial" w:cs="Arial"/>
          <w:sz w:val="24"/>
          <w:szCs w:val="24"/>
        </w:rPr>
        <w:t>Promover la vinculación directa con los agentes productivos de la Pesca y la Acuacultura Nacional para brindar la atención necesaria a los problemas que limitan y frenan su desarrollo.</w:t>
      </w:r>
    </w:p>
    <w:p w:rsidR="00883616" w:rsidRPr="00C76CA8" w:rsidRDefault="00B06F40" w:rsidP="008357D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Continuar siendo el</w:t>
      </w:r>
      <w:r w:rsidR="008357D3" w:rsidRPr="00C76CA8">
        <w:rPr>
          <w:rFonts w:ascii="Arial" w:hAnsi="Arial" w:cs="Arial"/>
          <w:sz w:val="24"/>
          <w:szCs w:val="24"/>
        </w:rPr>
        <w:t xml:space="preserve"> canal de comunicación entre las dependencias y organismos </w:t>
      </w:r>
      <w:r w:rsidR="004A1404" w:rsidRPr="00C76CA8">
        <w:rPr>
          <w:rFonts w:ascii="Arial" w:hAnsi="Arial" w:cs="Arial"/>
          <w:sz w:val="24"/>
          <w:szCs w:val="24"/>
        </w:rPr>
        <w:t>involucrados en la materia, los sectores y cadenas pr</w:t>
      </w:r>
      <w:r w:rsidR="004A1404">
        <w:rPr>
          <w:rFonts w:ascii="Arial" w:hAnsi="Arial" w:cs="Arial"/>
          <w:sz w:val="24"/>
          <w:szCs w:val="24"/>
        </w:rPr>
        <w:t xml:space="preserve">oductivas de valor y quienes participan </w:t>
      </w:r>
      <w:r w:rsidR="008357D3" w:rsidRPr="00C76CA8">
        <w:rPr>
          <w:rFonts w:ascii="Arial" w:hAnsi="Arial" w:cs="Arial"/>
          <w:sz w:val="24"/>
          <w:szCs w:val="24"/>
        </w:rPr>
        <w:t xml:space="preserve">en el estudio y desarrollo de estas actividades. </w:t>
      </w:r>
    </w:p>
    <w:p w:rsidR="00C76CA8" w:rsidRDefault="00B06F40" w:rsidP="00C76CA8">
      <w:pPr>
        <w:pStyle w:val="Prrafodelista"/>
        <w:numPr>
          <w:ilvl w:val="0"/>
          <w:numId w:val="5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Reforzar</w:t>
      </w:r>
      <w:r w:rsidR="00883616" w:rsidRPr="00C76CA8">
        <w:rPr>
          <w:rFonts w:ascii="Arial" w:hAnsi="Arial" w:cs="Arial"/>
          <w:sz w:val="24"/>
          <w:szCs w:val="24"/>
        </w:rPr>
        <w:t xml:space="preserve"> la celebración de reuniones, visitas y entrevistas con los productores y allegados al sector para continuar en la construcción del marco referencial para fortalecer el trabajo legislativo.</w:t>
      </w:r>
    </w:p>
    <w:p w:rsidR="001B3719" w:rsidRDefault="001B3719" w:rsidP="001B3719">
      <w:pPr>
        <w:pStyle w:val="Prrafodelista"/>
        <w:spacing w:before="24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220570" w:rsidRPr="00C76CA8" w:rsidRDefault="00883616" w:rsidP="00C76CA8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6CA8">
        <w:rPr>
          <w:rFonts w:ascii="Arial" w:hAnsi="Arial" w:cs="Arial"/>
          <w:b/>
          <w:sz w:val="24"/>
          <w:szCs w:val="24"/>
        </w:rPr>
        <w:t>Agenda Parlamentaria</w:t>
      </w:r>
    </w:p>
    <w:p w:rsidR="00883616" w:rsidRDefault="00883616" w:rsidP="008836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6CA8">
        <w:rPr>
          <w:rFonts w:ascii="Arial" w:hAnsi="Arial" w:cs="Arial"/>
          <w:sz w:val="24"/>
          <w:szCs w:val="24"/>
        </w:rPr>
        <w:t>La Comisión de Pesca tiene proyectada la realización de las siguientes reuniones de Junta Directiva y Plenarias:</w:t>
      </w:r>
    </w:p>
    <w:p w:rsidR="003E127A" w:rsidRPr="00C76CA8" w:rsidRDefault="003E127A" w:rsidP="008836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6345"/>
        <w:gridCol w:w="2709"/>
      </w:tblGrid>
      <w:tr w:rsidR="00883616" w:rsidRPr="00C76CA8" w:rsidTr="00516971">
        <w:trPr>
          <w:trHeight w:val="564"/>
          <w:tblHeader/>
        </w:trPr>
        <w:tc>
          <w:tcPr>
            <w:tcW w:w="9054" w:type="dxa"/>
            <w:gridSpan w:val="2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ACB9CA" w:themeColor="text2" w:themeTint="66"/>
              <w:right w:val="single" w:sz="12" w:space="0" w:color="767171" w:themeColor="background2" w:themeShade="80"/>
            </w:tcBorders>
            <w:shd w:val="clear" w:color="auto" w:fill="9A0000"/>
            <w:vAlign w:val="center"/>
          </w:tcPr>
          <w:p w:rsidR="00883616" w:rsidRPr="00C76CA8" w:rsidRDefault="00883616" w:rsidP="00201C8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76CA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Calendario de Sesiones de Junta Directiva</w:t>
            </w:r>
          </w:p>
        </w:tc>
      </w:tr>
      <w:tr w:rsidR="00883616" w:rsidRPr="00C76CA8" w:rsidTr="00516971">
        <w:tc>
          <w:tcPr>
            <w:tcW w:w="6345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883616" w:rsidRPr="001B3719" w:rsidRDefault="00883616" w:rsidP="00201C86">
            <w:pPr>
              <w:spacing w:line="36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1B3719">
              <w:rPr>
                <w:rFonts w:ascii="Arial" w:hAnsi="Arial" w:cs="Arial"/>
                <w:b/>
                <w:color w:val="C00000"/>
                <w:sz w:val="24"/>
                <w:szCs w:val="24"/>
              </w:rPr>
              <w:t>Reunión</w:t>
            </w:r>
          </w:p>
        </w:tc>
        <w:tc>
          <w:tcPr>
            <w:tcW w:w="270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883616" w:rsidRPr="001B3719" w:rsidRDefault="00883616" w:rsidP="00201C86">
            <w:pPr>
              <w:spacing w:line="36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1B3719">
              <w:rPr>
                <w:rFonts w:ascii="Arial" w:hAnsi="Arial" w:cs="Arial"/>
                <w:b/>
                <w:color w:val="C00000"/>
                <w:sz w:val="24"/>
                <w:szCs w:val="24"/>
              </w:rPr>
              <w:t>Fecha Tentativa</w:t>
            </w:r>
          </w:p>
        </w:tc>
      </w:tr>
      <w:tr w:rsidR="00883616" w:rsidRPr="00C76CA8" w:rsidTr="001B3719">
        <w:trPr>
          <w:trHeight w:val="563"/>
        </w:trPr>
        <w:tc>
          <w:tcPr>
            <w:tcW w:w="6345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883616" w:rsidRPr="00C76CA8" w:rsidRDefault="00883616" w:rsidP="00B06F40">
            <w:pPr>
              <w:rPr>
                <w:rFonts w:ascii="Arial" w:hAnsi="Arial" w:cs="Arial"/>
                <w:sz w:val="24"/>
                <w:szCs w:val="24"/>
              </w:rPr>
            </w:pPr>
            <w:r w:rsidRPr="00C76CA8">
              <w:rPr>
                <w:rFonts w:ascii="Arial" w:hAnsi="Arial" w:cs="Arial"/>
                <w:sz w:val="24"/>
                <w:szCs w:val="24"/>
              </w:rPr>
              <w:t xml:space="preserve">Reunión </w:t>
            </w:r>
            <w:r w:rsidR="00B06F40">
              <w:rPr>
                <w:rFonts w:ascii="Arial" w:hAnsi="Arial" w:cs="Arial"/>
                <w:sz w:val="24"/>
                <w:szCs w:val="24"/>
              </w:rPr>
              <w:t>Junta</w:t>
            </w:r>
            <w:r w:rsidRPr="00C76CA8">
              <w:rPr>
                <w:rFonts w:ascii="Arial" w:hAnsi="Arial" w:cs="Arial"/>
                <w:sz w:val="24"/>
                <w:szCs w:val="24"/>
              </w:rPr>
              <w:t xml:space="preserve"> Directiva </w:t>
            </w:r>
            <w:r w:rsidR="00E7192C" w:rsidRPr="00C76CA8">
              <w:rPr>
                <w:rFonts w:ascii="Arial" w:hAnsi="Arial" w:cs="Arial"/>
                <w:sz w:val="24"/>
                <w:szCs w:val="24"/>
              </w:rPr>
              <w:t xml:space="preserve">de la Comisión </w:t>
            </w:r>
          </w:p>
        </w:tc>
        <w:tc>
          <w:tcPr>
            <w:tcW w:w="270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883616" w:rsidRPr="00C76CA8" w:rsidRDefault="008001D1" w:rsidP="00201C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septiembre 2019</w:t>
            </w:r>
          </w:p>
        </w:tc>
      </w:tr>
      <w:tr w:rsidR="00E7192C" w:rsidRPr="00C76CA8" w:rsidTr="001B3719">
        <w:trPr>
          <w:trHeight w:val="563"/>
        </w:trPr>
        <w:tc>
          <w:tcPr>
            <w:tcW w:w="6345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E7192C" w:rsidRPr="00C76CA8" w:rsidRDefault="00E7192C" w:rsidP="00B06F40">
            <w:pPr>
              <w:rPr>
                <w:rFonts w:ascii="Arial" w:hAnsi="Arial" w:cs="Arial"/>
                <w:sz w:val="24"/>
                <w:szCs w:val="24"/>
              </w:rPr>
            </w:pPr>
            <w:r w:rsidRPr="00C76CA8">
              <w:rPr>
                <w:rFonts w:ascii="Arial" w:hAnsi="Arial" w:cs="Arial"/>
                <w:sz w:val="24"/>
                <w:szCs w:val="24"/>
              </w:rPr>
              <w:t xml:space="preserve">Reunión </w:t>
            </w:r>
            <w:r w:rsidR="00B06F40">
              <w:rPr>
                <w:rFonts w:ascii="Arial" w:hAnsi="Arial" w:cs="Arial"/>
                <w:sz w:val="24"/>
                <w:szCs w:val="24"/>
              </w:rPr>
              <w:t>Junta</w:t>
            </w:r>
            <w:r w:rsidRPr="00C76CA8">
              <w:rPr>
                <w:rFonts w:ascii="Arial" w:hAnsi="Arial" w:cs="Arial"/>
                <w:sz w:val="24"/>
                <w:szCs w:val="24"/>
              </w:rPr>
              <w:t xml:space="preserve"> Directiva de la Comisión</w:t>
            </w:r>
          </w:p>
        </w:tc>
        <w:tc>
          <w:tcPr>
            <w:tcW w:w="270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E7192C" w:rsidRPr="00C76CA8" w:rsidRDefault="008001D1" w:rsidP="00E71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octubre 2019</w:t>
            </w:r>
          </w:p>
        </w:tc>
      </w:tr>
      <w:tr w:rsidR="00E7192C" w:rsidRPr="00C76CA8" w:rsidTr="001B3719">
        <w:trPr>
          <w:trHeight w:val="553"/>
        </w:trPr>
        <w:tc>
          <w:tcPr>
            <w:tcW w:w="6345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E7192C" w:rsidRPr="00C76CA8" w:rsidRDefault="00E7192C" w:rsidP="00B06F40">
            <w:pPr>
              <w:rPr>
                <w:rFonts w:ascii="Arial" w:hAnsi="Arial" w:cs="Arial"/>
                <w:sz w:val="24"/>
                <w:szCs w:val="24"/>
              </w:rPr>
            </w:pPr>
            <w:r w:rsidRPr="00C76CA8">
              <w:rPr>
                <w:rFonts w:ascii="Arial" w:hAnsi="Arial" w:cs="Arial"/>
                <w:sz w:val="24"/>
                <w:szCs w:val="24"/>
              </w:rPr>
              <w:t xml:space="preserve">Reunión </w:t>
            </w:r>
            <w:r w:rsidR="00B06F40">
              <w:rPr>
                <w:rFonts w:ascii="Arial" w:hAnsi="Arial" w:cs="Arial"/>
                <w:sz w:val="24"/>
                <w:szCs w:val="24"/>
              </w:rPr>
              <w:t>Junta</w:t>
            </w:r>
            <w:r w:rsidRPr="00C76CA8">
              <w:rPr>
                <w:rFonts w:ascii="Arial" w:hAnsi="Arial" w:cs="Arial"/>
                <w:sz w:val="24"/>
                <w:szCs w:val="24"/>
              </w:rPr>
              <w:t xml:space="preserve"> Directiva de la Comisión</w:t>
            </w:r>
          </w:p>
        </w:tc>
        <w:tc>
          <w:tcPr>
            <w:tcW w:w="270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E7192C" w:rsidRPr="00C76CA8" w:rsidRDefault="008001D1" w:rsidP="00E71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noviembre 2019</w:t>
            </w:r>
          </w:p>
        </w:tc>
      </w:tr>
      <w:tr w:rsidR="00E7192C" w:rsidRPr="00C76CA8" w:rsidTr="00516971">
        <w:trPr>
          <w:trHeight w:val="553"/>
        </w:trPr>
        <w:tc>
          <w:tcPr>
            <w:tcW w:w="6345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E7192C" w:rsidRPr="00C76CA8" w:rsidRDefault="00E7192C" w:rsidP="00B06F40">
            <w:pPr>
              <w:rPr>
                <w:rFonts w:ascii="Arial" w:hAnsi="Arial" w:cs="Arial"/>
                <w:sz w:val="24"/>
                <w:szCs w:val="24"/>
              </w:rPr>
            </w:pPr>
            <w:r w:rsidRPr="00C76CA8">
              <w:rPr>
                <w:rFonts w:ascii="Arial" w:hAnsi="Arial" w:cs="Arial"/>
                <w:sz w:val="24"/>
                <w:szCs w:val="24"/>
              </w:rPr>
              <w:t xml:space="preserve">Reunión </w:t>
            </w:r>
            <w:r w:rsidR="00B06F40">
              <w:rPr>
                <w:rFonts w:ascii="Arial" w:hAnsi="Arial" w:cs="Arial"/>
                <w:sz w:val="24"/>
                <w:szCs w:val="24"/>
              </w:rPr>
              <w:t>Junta</w:t>
            </w:r>
            <w:r w:rsidRPr="00C76CA8">
              <w:rPr>
                <w:rFonts w:ascii="Arial" w:hAnsi="Arial" w:cs="Arial"/>
                <w:sz w:val="24"/>
                <w:szCs w:val="24"/>
              </w:rPr>
              <w:t xml:space="preserve"> Directiva de la Comisión</w:t>
            </w:r>
          </w:p>
        </w:tc>
        <w:tc>
          <w:tcPr>
            <w:tcW w:w="270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E7192C" w:rsidRPr="00C76CA8" w:rsidRDefault="008001D1" w:rsidP="00E71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diciembre 2019</w:t>
            </w:r>
          </w:p>
        </w:tc>
      </w:tr>
      <w:tr w:rsidR="00E7192C" w:rsidRPr="00C76CA8" w:rsidTr="00516971">
        <w:trPr>
          <w:trHeight w:val="470"/>
        </w:trPr>
        <w:tc>
          <w:tcPr>
            <w:tcW w:w="6345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E7192C" w:rsidRPr="00C76CA8" w:rsidRDefault="00E7192C" w:rsidP="00B06F40">
            <w:pPr>
              <w:rPr>
                <w:rFonts w:ascii="Arial" w:hAnsi="Arial" w:cs="Arial"/>
                <w:sz w:val="24"/>
                <w:szCs w:val="24"/>
              </w:rPr>
            </w:pPr>
            <w:r w:rsidRPr="00C76CA8">
              <w:rPr>
                <w:rFonts w:ascii="Arial" w:hAnsi="Arial" w:cs="Arial"/>
                <w:sz w:val="24"/>
                <w:szCs w:val="24"/>
              </w:rPr>
              <w:t xml:space="preserve">Reunión </w:t>
            </w:r>
            <w:r w:rsidR="00B06F40">
              <w:rPr>
                <w:rFonts w:ascii="Arial" w:hAnsi="Arial" w:cs="Arial"/>
                <w:sz w:val="24"/>
                <w:szCs w:val="24"/>
              </w:rPr>
              <w:t>Junta</w:t>
            </w:r>
            <w:r w:rsidRPr="00C76CA8">
              <w:rPr>
                <w:rFonts w:ascii="Arial" w:hAnsi="Arial" w:cs="Arial"/>
                <w:sz w:val="24"/>
                <w:szCs w:val="24"/>
              </w:rPr>
              <w:t xml:space="preserve"> Directiva de la Comisión</w:t>
            </w:r>
          </w:p>
        </w:tc>
        <w:tc>
          <w:tcPr>
            <w:tcW w:w="270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E7192C" w:rsidRPr="00C76CA8" w:rsidRDefault="008001D1" w:rsidP="00E71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enero 2020</w:t>
            </w:r>
          </w:p>
        </w:tc>
      </w:tr>
      <w:tr w:rsidR="00E7192C" w:rsidRPr="00C76CA8" w:rsidTr="00516971">
        <w:trPr>
          <w:trHeight w:val="470"/>
        </w:trPr>
        <w:tc>
          <w:tcPr>
            <w:tcW w:w="6345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E7192C" w:rsidRPr="00C76CA8" w:rsidRDefault="00E7192C" w:rsidP="00B06F40">
            <w:pPr>
              <w:rPr>
                <w:rFonts w:ascii="Arial" w:hAnsi="Arial" w:cs="Arial"/>
                <w:sz w:val="24"/>
                <w:szCs w:val="24"/>
              </w:rPr>
            </w:pPr>
            <w:r w:rsidRPr="00C76CA8">
              <w:rPr>
                <w:rFonts w:ascii="Arial" w:hAnsi="Arial" w:cs="Arial"/>
                <w:sz w:val="24"/>
                <w:szCs w:val="24"/>
              </w:rPr>
              <w:t xml:space="preserve">Reunión </w:t>
            </w:r>
            <w:r w:rsidR="00B06F40">
              <w:rPr>
                <w:rFonts w:ascii="Arial" w:hAnsi="Arial" w:cs="Arial"/>
                <w:sz w:val="24"/>
                <w:szCs w:val="24"/>
              </w:rPr>
              <w:t>Junta</w:t>
            </w:r>
            <w:r w:rsidRPr="00C76CA8">
              <w:rPr>
                <w:rFonts w:ascii="Arial" w:hAnsi="Arial" w:cs="Arial"/>
                <w:sz w:val="24"/>
                <w:szCs w:val="24"/>
              </w:rPr>
              <w:t xml:space="preserve"> Directiva de la Comisión</w:t>
            </w:r>
          </w:p>
        </w:tc>
        <w:tc>
          <w:tcPr>
            <w:tcW w:w="270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E7192C" w:rsidRPr="00C76CA8" w:rsidRDefault="008001D1" w:rsidP="00E71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febrero 2020</w:t>
            </w:r>
          </w:p>
        </w:tc>
      </w:tr>
      <w:tr w:rsidR="00E7192C" w:rsidRPr="00C76CA8" w:rsidTr="00516971">
        <w:trPr>
          <w:trHeight w:val="534"/>
        </w:trPr>
        <w:tc>
          <w:tcPr>
            <w:tcW w:w="6345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E7192C" w:rsidRPr="00C76CA8" w:rsidRDefault="00E7192C" w:rsidP="00B06F40">
            <w:pPr>
              <w:rPr>
                <w:rFonts w:ascii="Arial" w:hAnsi="Arial" w:cs="Arial"/>
                <w:sz w:val="24"/>
                <w:szCs w:val="24"/>
              </w:rPr>
            </w:pPr>
            <w:r w:rsidRPr="00C76CA8">
              <w:rPr>
                <w:rFonts w:ascii="Arial" w:hAnsi="Arial" w:cs="Arial"/>
                <w:sz w:val="24"/>
                <w:szCs w:val="24"/>
              </w:rPr>
              <w:t xml:space="preserve">Reunión </w:t>
            </w:r>
            <w:r w:rsidR="00B06F40">
              <w:rPr>
                <w:rFonts w:ascii="Arial" w:hAnsi="Arial" w:cs="Arial"/>
                <w:sz w:val="24"/>
                <w:szCs w:val="24"/>
              </w:rPr>
              <w:t>Junta</w:t>
            </w:r>
            <w:r w:rsidRPr="00C76CA8">
              <w:rPr>
                <w:rFonts w:ascii="Arial" w:hAnsi="Arial" w:cs="Arial"/>
                <w:sz w:val="24"/>
                <w:szCs w:val="24"/>
              </w:rPr>
              <w:t xml:space="preserve"> Directiva de la Comisión</w:t>
            </w:r>
          </w:p>
        </w:tc>
        <w:tc>
          <w:tcPr>
            <w:tcW w:w="270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E7192C" w:rsidRPr="00C76CA8" w:rsidRDefault="008001D1" w:rsidP="00E71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marzo 2020</w:t>
            </w:r>
          </w:p>
        </w:tc>
      </w:tr>
      <w:tr w:rsidR="00E7192C" w:rsidRPr="00C76CA8" w:rsidTr="00516971">
        <w:trPr>
          <w:trHeight w:val="542"/>
        </w:trPr>
        <w:tc>
          <w:tcPr>
            <w:tcW w:w="6345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E7192C" w:rsidRPr="00C76CA8" w:rsidRDefault="00E7192C" w:rsidP="00B06F40">
            <w:pPr>
              <w:rPr>
                <w:rFonts w:ascii="Arial" w:hAnsi="Arial" w:cs="Arial"/>
                <w:sz w:val="24"/>
                <w:szCs w:val="24"/>
              </w:rPr>
            </w:pPr>
            <w:r w:rsidRPr="00C76CA8">
              <w:rPr>
                <w:rFonts w:ascii="Arial" w:hAnsi="Arial" w:cs="Arial"/>
                <w:sz w:val="24"/>
                <w:szCs w:val="24"/>
              </w:rPr>
              <w:t xml:space="preserve">Reunión </w:t>
            </w:r>
            <w:r w:rsidR="00B06F40">
              <w:rPr>
                <w:rFonts w:ascii="Arial" w:hAnsi="Arial" w:cs="Arial"/>
                <w:sz w:val="24"/>
                <w:szCs w:val="24"/>
              </w:rPr>
              <w:t>Junta</w:t>
            </w:r>
            <w:r w:rsidRPr="00C76CA8">
              <w:rPr>
                <w:rFonts w:ascii="Arial" w:hAnsi="Arial" w:cs="Arial"/>
                <w:sz w:val="24"/>
                <w:szCs w:val="24"/>
              </w:rPr>
              <w:t xml:space="preserve"> Directiva de la Comisión</w:t>
            </w:r>
          </w:p>
        </w:tc>
        <w:tc>
          <w:tcPr>
            <w:tcW w:w="270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E7192C" w:rsidRPr="00C76CA8" w:rsidRDefault="008001D1" w:rsidP="00E71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abril 2020</w:t>
            </w:r>
          </w:p>
        </w:tc>
      </w:tr>
      <w:tr w:rsidR="00E7192C" w:rsidRPr="00C76CA8" w:rsidTr="00516971">
        <w:trPr>
          <w:trHeight w:val="537"/>
        </w:trPr>
        <w:tc>
          <w:tcPr>
            <w:tcW w:w="6345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E7192C" w:rsidRPr="00C76CA8" w:rsidRDefault="00E7192C" w:rsidP="00B06F40">
            <w:pPr>
              <w:rPr>
                <w:rFonts w:ascii="Arial" w:hAnsi="Arial" w:cs="Arial"/>
                <w:sz w:val="24"/>
                <w:szCs w:val="24"/>
              </w:rPr>
            </w:pPr>
            <w:r w:rsidRPr="00C76CA8">
              <w:rPr>
                <w:rFonts w:ascii="Arial" w:hAnsi="Arial" w:cs="Arial"/>
                <w:sz w:val="24"/>
                <w:szCs w:val="24"/>
              </w:rPr>
              <w:t xml:space="preserve">Reunión </w:t>
            </w:r>
            <w:r w:rsidR="00B06F40">
              <w:rPr>
                <w:rFonts w:ascii="Arial" w:hAnsi="Arial" w:cs="Arial"/>
                <w:sz w:val="24"/>
                <w:szCs w:val="24"/>
              </w:rPr>
              <w:t>Junta</w:t>
            </w:r>
            <w:r w:rsidRPr="00C76CA8">
              <w:rPr>
                <w:rFonts w:ascii="Arial" w:hAnsi="Arial" w:cs="Arial"/>
                <w:sz w:val="24"/>
                <w:szCs w:val="24"/>
              </w:rPr>
              <w:t xml:space="preserve"> Directiva de la Comisión</w:t>
            </w:r>
          </w:p>
        </w:tc>
        <w:tc>
          <w:tcPr>
            <w:tcW w:w="270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E7192C" w:rsidRPr="00C76CA8" w:rsidRDefault="008001D1" w:rsidP="00E71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mayo 2020</w:t>
            </w:r>
          </w:p>
        </w:tc>
      </w:tr>
      <w:tr w:rsidR="00E7192C" w:rsidRPr="00C76CA8" w:rsidTr="00516971">
        <w:trPr>
          <w:trHeight w:val="530"/>
        </w:trPr>
        <w:tc>
          <w:tcPr>
            <w:tcW w:w="6345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E7192C" w:rsidRPr="00C76CA8" w:rsidRDefault="00E7192C" w:rsidP="00B06F40">
            <w:pPr>
              <w:rPr>
                <w:rFonts w:ascii="Arial" w:hAnsi="Arial" w:cs="Arial"/>
                <w:sz w:val="24"/>
                <w:szCs w:val="24"/>
              </w:rPr>
            </w:pPr>
            <w:r w:rsidRPr="00C76CA8">
              <w:rPr>
                <w:rFonts w:ascii="Arial" w:hAnsi="Arial" w:cs="Arial"/>
                <w:sz w:val="24"/>
                <w:szCs w:val="24"/>
              </w:rPr>
              <w:t xml:space="preserve">Reunión </w:t>
            </w:r>
            <w:r w:rsidR="00B06F40">
              <w:rPr>
                <w:rFonts w:ascii="Arial" w:hAnsi="Arial" w:cs="Arial"/>
                <w:sz w:val="24"/>
                <w:szCs w:val="24"/>
              </w:rPr>
              <w:t>Junta</w:t>
            </w:r>
            <w:r w:rsidRPr="00C76CA8">
              <w:rPr>
                <w:rFonts w:ascii="Arial" w:hAnsi="Arial" w:cs="Arial"/>
                <w:sz w:val="24"/>
                <w:szCs w:val="24"/>
              </w:rPr>
              <w:t xml:space="preserve"> Directiva de la Comisión</w:t>
            </w:r>
          </w:p>
        </w:tc>
        <w:tc>
          <w:tcPr>
            <w:tcW w:w="270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E7192C" w:rsidRPr="00C76CA8" w:rsidRDefault="008001D1" w:rsidP="00E71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 2020</w:t>
            </w:r>
          </w:p>
        </w:tc>
      </w:tr>
      <w:tr w:rsidR="00E7192C" w:rsidRPr="00C76CA8" w:rsidTr="00516971">
        <w:trPr>
          <w:trHeight w:val="552"/>
        </w:trPr>
        <w:tc>
          <w:tcPr>
            <w:tcW w:w="6345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E7192C" w:rsidRPr="00C76CA8" w:rsidRDefault="00E7192C" w:rsidP="00B06F40">
            <w:pPr>
              <w:rPr>
                <w:rFonts w:ascii="Arial" w:hAnsi="Arial" w:cs="Arial"/>
                <w:sz w:val="24"/>
                <w:szCs w:val="24"/>
              </w:rPr>
            </w:pPr>
            <w:r w:rsidRPr="00C76CA8">
              <w:rPr>
                <w:rFonts w:ascii="Arial" w:hAnsi="Arial" w:cs="Arial"/>
                <w:sz w:val="24"/>
                <w:szCs w:val="24"/>
              </w:rPr>
              <w:t xml:space="preserve">Reunión </w:t>
            </w:r>
            <w:r w:rsidR="00B06F40">
              <w:rPr>
                <w:rFonts w:ascii="Arial" w:hAnsi="Arial" w:cs="Arial"/>
                <w:sz w:val="24"/>
                <w:szCs w:val="24"/>
              </w:rPr>
              <w:t>Junta</w:t>
            </w:r>
            <w:r w:rsidRPr="00C76CA8">
              <w:rPr>
                <w:rFonts w:ascii="Arial" w:hAnsi="Arial" w:cs="Arial"/>
                <w:sz w:val="24"/>
                <w:szCs w:val="24"/>
              </w:rPr>
              <w:t xml:space="preserve"> Directiva de la Comisión</w:t>
            </w:r>
          </w:p>
        </w:tc>
        <w:tc>
          <w:tcPr>
            <w:tcW w:w="270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E7192C" w:rsidRPr="00C76CA8" w:rsidRDefault="008001D1" w:rsidP="00E71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julio 2020</w:t>
            </w:r>
          </w:p>
        </w:tc>
      </w:tr>
      <w:tr w:rsidR="00E7192C" w:rsidRPr="00C76CA8" w:rsidTr="00516971">
        <w:trPr>
          <w:trHeight w:val="532"/>
        </w:trPr>
        <w:tc>
          <w:tcPr>
            <w:tcW w:w="6345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E7192C" w:rsidRPr="00C76CA8" w:rsidRDefault="00E7192C" w:rsidP="00B06F40">
            <w:pPr>
              <w:rPr>
                <w:rFonts w:ascii="Arial" w:hAnsi="Arial" w:cs="Arial"/>
                <w:sz w:val="24"/>
                <w:szCs w:val="24"/>
              </w:rPr>
            </w:pPr>
            <w:r w:rsidRPr="00C76CA8">
              <w:rPr>
                <w:rFonts w:ascii="Arial" w:hAnsi="Arial" w:cs="Arial"/>
                <w:sz w:val="24"/>
                <w:szCs w:val="24"/>
              </w:rPr>
              <w:t xml:space="preserve">Reunión </w:t>
            </w:r>
            <w:r w:rsidR="00B06F40">
              <w:rPr>
                <w:rFonts w:ascii="Arial" w:hAnsi="Arial" w:cs="Arial"/>
                <w:sz w:val="24"/>
                <w:szCs w:val="24"/>
              </w:rPr>
              <w:t>Junta</w:t>
            </w:r>
            <w:r w:rsidRPr="00C76CA8">
              <w:rPr>
                <w:rFonts w:ascii="Arial" w:hAnsi="Arial" w:cs="Arial"/>
                <w:sz w:val="24"/>
                <w:szCs w:val="24"/>
              </w:rPr>
              <w:t xml:space="preserve"> Directiva de la Comisión</w:t>
            </w:r>
          </w:p>
        </w:tc>
        <w:tc>
          <w:tcPr>
            <w:tcW w:w="270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E7192C" w:rsidRPr="00C76CA8" w:rsidRDefault="008001D1" w:rsidP="00E71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agosto 2020</w:t>
            </w:r>
          </w:p>
        </w:tc>
      </w:tr>
    </w:tbl>
    <w:p w:rsidR="00516971" w:rsidRPr="00C76CA8" w:rsidRDefault="00883616" w:rsidP="008836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6CA8"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laconcuadrcula"/>
        <w:tblW w:w="9054" w:type="dxa"/>
        <w:tblBorders>
          <w:top w:val="single" w:sz="12" w:space="0" w:color="767171" w:themeColor="background2" w:themeShade="80"/>
          <w:left w:val="single" w:sz="12" w:space="0" w:color="767171" w:themeColor="background2" w:themeShade="80"/>
          <w:bottom w:val="single" w:sz="12" w:space="0" w:color="767171" w:themeColor="background2" w:themeShade="80"/>
          <w:right w:val="single" w:sz="12" w:space="0" w:color="767171" w:themeColor="background2" w:themeShade="80"/>
          <w:insideH w:val="single" w:sz="12" w:space="0" w:color="767171" w:themeColor="background2" w:themeShade="80"/>
          <w:insideV w:val="single" w:sz="12" w:space="0" w:color="323E4F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709"/>
      </w:tblGrid>
      <w:tr w:rsidR="00883616" w:rsidRPr="00C76CA8" w:rsidTr="00516971">
        <w:trPr>
          <w:trHeight w:val="564"/>
          <w:tblHeader/>
        </w:trPr>
        <w:tc>
          <w:tcPr>
            <w:tcW w:w="9054" w:type="dxa"/>
            <w:gridSpan w:val="2"/>
            <w:shd w:val="clear" w:color="auto" w:fill="9A0000"/>
            <w:vAlign w:val="center"/>
          </w:tcPr>
          <w:p w:rsidR="00883616" w:rsidRPr="00C76CA8" w:rsidRDefault="00883616" w:rsidP="00201C8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76CA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Calendario de Sesiones de Reunión Ordinaria</w:t>
            </w:r>
          </w:p>
        </w:tc>
      </w:tr>
      <w:tr w:rsidR="00883616" w:rsidRPr="00C76CA8" w:rsidTr="00516971">
        <w:tc>
          <w:tcPr>
            <w:tcW w:w="6345" w:type="dxa"/>
            <w:tcBorders>
              <w:right w:val="single" w:sz="12" w:space="0" w:color="767171" w:themeColor="background2" w:themeShade="80"/>
            </w:tcBorders>
            <w:vAlign w:val="center"/>
          </w:tcPr>
          <w:p w:rsidR="00883616" w:rsidRPr="00C76CA8" w:rsidRDefault="00883616" w:rsidP="00201C86">
            <w:pPr>
              <w:spacing w:line="360" w:lineRule="auto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 w:rsidRPr="00C76CA8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Reunión</w:t>
            </w:r>
          </w:p>
        </w:tc>
        <w:tc>
          <w:tcPr>
            <w:tcW w:w="2709" w:type="dxa"/>
            <w:tcBorders>
              <w:left w:val="single" w:sz="12" w:space="0" w:color="767171" w:themeColor="background2" w:themeShade="80"/>
            </w:tcBorders>
            <w:vAlign w:val="center"/>
          </w:tcPr>
          <w:p w:rsidR="00883616" w:rsidRPr="00C76CA8" w:rsidRDefault="00883616" w:rsidP="00201C86">
            <w:pPr>
              <w:spacing w:line="360" w:lineRule="auto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 w:rsidRPr="00C76CA8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Fecha Tentativa</w:t>
            </w:r>
          </w:p>
        </w:tc>
      </w:tr>
      <w:tr w:rsidR="00E7192C" w:rsidRPr="00C76CA8" w:rsidTr="00516971">
        <w:tc>
          <w:tcPr>
            <w:tcW w:w="6345" w:type="dxa"/>
            <w:tcBorders>
              <w:right w:val="single" w:sz="12" w:space="0" w:color="767171" w:themeColor="background2" w:themeShade="80"/>
            </w:tcBorders>
            <w:vAlign w:val="center"/>
          </w:tcPr>
          <w:p w:rsidR="00E7192C" w:rsidRPr="00C76CA8" w:rsidRDefault="00232DB4" w:rsidP="00E7192C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 w:rsidRPr="00C76CA8">
              <w:rPr>
                <w:rFonts w:ascii="Arial" w:hAnsi="Arial" w:cs="Arial"/>
                <w:sz w:val="24"/>
                <w:szCs w:val="24"/>
              </w:rPr>
              <w:t>Reunión Ordinaria de la Comisión</w:t>
            </w:r>
          </w:p>
        </w:tc>
        <w:tc>
          <w:tcPr>
            <w:tcW w:w="2709" w:type="dxa"/>
            <w:tcBorders>
              <w:left w:val="single" w:sz="12" w:space="0" w:color="767171" w:themeColor="background2" w:themeShade="80"/>
            </w:tcBorders>
            <w:vAlign w:val="center"/>
          </w:tcPr>
          <w:p w:rsidR="00E7192C" w:rsidRPr="00C76CA8" w:rsidRDefault="00232DB4" w:rsidP="00E7192C">
            <w:pPr>
              <w:spacing w:line="360" w:lineRule="auto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Septiembre 2019</w:t>
            </w:r>
          </w:p>
        </w:tc>
      </w:tr>
      <w:tr w:rsidR="00883616" w:rsidRPr="00C76CA8" w:rsidTr="00516971">
        <w:trPr>
          <w:trHeight w:val="563"/>
        </w:trPr>
        <w:tc>
          <w:tcPr>
            <w:tcW w:w="6345" w:type="dxa"/>
            <w:tcBorders>
              <w:right w:val="single" w:sz="12" w:space="0" w:color="767171" w:themeColor="background2" w:themeShade="80"/>
            </w:tcBorders>
            <w:vAlign w:val="center"/>
          </w:tcPr>
          <w:p w:rsidR="00883616" w:rsidRPr="00C76CA8" w:rsidRDefault="00883616" w:rsidP="00E7192C">
            <w:pPr>
              <w:rPr>
                <w:rFonts w:ascii="Arial" w:hAnsi="Arial" w:cs="Arial"/>
                <w:sz w:val="24"/>
                <w:szCs w:val="24"/>
              </w:rPr>
            </w:pPr>
            <w:r w:rsidRPr="00C76CA8">
              <w:rPr>
                <w:rFonts w:ascii="Arial" w:hAnsi="Arial" w:cs="Arial"/>
                <w:sz w:val="24"/>
                <w:szCs w:val="24"/>
              </w:rPr>
              <w:t xml:space="preserve">Reunión Ordinaria </w:t>
            </w:r>
            <w:r w:rsidR="00E7192C" w:rsidRPr="00C76CA8">
              <w:rPr>
                <w:rFonts w:ascii="Arial" w:hAnsi="Arial" w:cs="Arial"/>
                <w:sz w:val="24"/>
                <w:szCs w:val="24"/>
              </w:rPr>
              <w:t xml:space="preserve">de la </w:t>
            </w:r>
            <w:r w:rsidRPr="00C76CA8">
              <w:rPr>
                <w:rFonts w:ascii="Arial" w:hAnsi="Arial" w:cs="Arial"/>
                <w:sz w:val="24"/>
                <w:szCs w:val="24"/>
              </w:rPr>
              <w:t xml:space="preserve">Comisión </w:t>
            </w:r>
          </w:p>
        </w:tc>
        <w:tc>
          <w:tcPr>
            <w:tcW w:w="2709" w:type="dxa"/>
            <w:tcBorders>
              <w:left w:val="single" w:sz="12" w:space="0" w:color="767171" w:themeColor="background2" w:themeShade="80"/>
            </w:tcBorders>
            <w:vAlign w:val="center"/>
          </w:tcPr>
          <w:p w:rsidR="00883616" w:rsidRPr="00C76CA8" w:rsidRDefault="00232DB4" w:rsidP="00201C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octubre 2019</w:t>
            </w:r>
          </w:p>
        </w:tc>
      </w:tr>
      <w:tr w:rsidR="00E7192C" w:rsidRPr="00C76CA8" w:rsidTr="00516971">
        <w:trPr>
          <w:trHeight w:val="553"/>
        </w:trPr>
        <w:tc>
          <w:tcPr>
            <w:tcW w:w="6345" w:type="dxa"/>
            <w:tcBorders>
              <w:right w:val="single" w:sz="12" w:space="0" w:color="767171" w:themeColor="background2" w:themeShade="80"/>
            </w:tcBorders>
            <w:vAlign w:val="center"/>
          </w:tcPr>
          <w:p w:rsidR="00E7192C" w:rsidRPr="00C76CA8" w:rsidRDefault="00E7192C" w:rsidP="00E7192C">
            <w:pPr>
              <w:rPr>
                <w:rFonts w:ascii="Arial" w:hAnsi="Arial" w:cs="Arial"/>
                <w:sz w:val="24"/>
                <w:szCs w:val="24"/>
              </w:rPr>
            </w:pPr>
            <w:r w:rsidRPr="00C76CA8">
              <w:rPr>
                <w:rFonts w:ascii="Arial" w:hAnsi="Arial" w:cs="Arial"/>
                <w:sz w:val="24"/>
                <w:szCs w:val="24"/>
              </w:rPr>
              <w:t>Reunión Ordinaria de la Comisión</w:t>
            </w:r>
          </w:p>
        </w:tc>
        <w:tc>
          <w:tcPr>
            <w:tcW w:w="2709" w:type="dxa"/>
            <w:tcBorders>
              <w:left w:val="single" w:sz="12" w:space="0" w:color="767171" w:themeColor="background2" w:themeShade="80"/>
            </w:tcBorders>
            <w:vAlign w:val="center"/>
          </w:tcPr>
          <w:p w:rsidR="00E7192C" w:rsidRPr="00C76CA8" w:rsidRDefault="00232DB4" w:rsidP="00E71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noviembre 2019</w:t>
            </w:r>
          </w:p>
        </w:tc>
      </w:tr>
      <w:tr w:rsidR="00E7192C" w:rsidRPr="00C76CA8" w:rsidTr="00516971">
        <w:trPr>
          <w:trHeight w:val="553"/>
        </w:trPr>
        <w:tc>
          <w:tcPr>
            <w:tcW w:w="6345" w:type="dxa"/>
            <w:tcBorders>
              <w:right w:val="single" w:sz="12" w:space="0" w:color="767171" w:themeColor="background2" w:themeShade="80"/>
            </w:tcBorders>
            <w:vAlign w:val="center"/>
          </w:tcPr>
          <w:p w:rsidR="00E7192C" w:rsidRPr="00C76CA8" w:rsidRDefault="00E7192C" w:rsidP="00E7192C">
            <w:pPr>
              <w:rPr>
                <w:rFonts w:ascii="Arial" w:hAnsi="Arial" w:cs="Arial"/>
                <w:sz w:val="24"/>
                <w:szCs w:val="24"/>
              </w:rPr>
            </w:pPr>
            <w:r w:rsidRPr="00C76CA8">
              <w:rPr>
                <w:rFonts w:ascii="Arial" w:hAnsi="Arial" w:cs="Arial"/>
                <w:sz w:val="24"/>
                <w:szCs w:val="24"/>
              </w:rPr>
              <w:lastRenderedPageBreak/>
              <w:t>Reunión Ordinaria de la Comisión</w:t>
            </w:r>
          </w:p>
        </w:tc>
        <w:tc>
          <w:tcPr>
            <w:tcW w:w="2709" w:type="dxa"/>
            <w:tcBorders>
              <w:left w:val="single" w:sz="12" w:space="0" w:color="767171" w:themeColor="background2" w:themeShade="80"/>
            </w:tcBorders>
            <w:vAlign w:val="center"/>
          </w:tcPr>
          <w:p w:rsidR="00E7192C" w:rsidRPr="00C76CA8" w:rsidRDefault="00232DB4" w:rsidP="00E71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diciembre 2019</w:t>
            </w:r>
          </w:p>
        </w:tc>
      </w:tr>
      <w:tr w:rsidR="00E7192C" w:rsidRPr="00C76CA8" w:rsidTr="00516971">
        <w:trPr>
          <w:trHeight w:val="470"/>
        </w:trPr>
        <w:tc>
          <w:tcPr>
            <w:tcW w:w="6345" w:type="dxa"/>
            <w:tcBorders>
              <w:right w:val="single" w:sz="12" w:space="0" w:color="767171" w:themeColor="background2" w:themeShade="80"/>
            </w:tcBorders>
            <w:vAlign w:val="center"/>
          </w:tcPr>
          <w:p w:rsidR="00E7192C" w:rsidRPr="00C76CA8" w:rsidRDefault="00E7192C" w:rsidP="00E7192C">
            <w:pPr>
              <w:rPr>
                <w:rFonts w:ascii="Arial" w:hAnsi="Arial" w:cs="Arial"/>
                <w:sz w:val="24"/>
                <w:szCs w:val="24"/>
              </w:rPr>
            </w:pPr>
            <w:r w:rsidRPr="00C76CA8">
              <w:rPr>
                <w:rFonts w:ascii="Arial" w:hAnsi="Arial" w:cs="Arial"/>
                <w:sz w:val="24"/>
                <w:szCs w:val="24"/>
              </w:rPr>
              <w:t>Reunión Ordinaria de la Comisión</w:t>
            </w:r>
          </w:p>
        </w:tc>
        <w:tc>
          <w:tcPr>
            <w:tcW w:w="2709" w:type="dxa"/>
            <w:tcBorders>
              <w:left w:val="single" w:sz="12" w:space="0" w:color="767171" w:themeColor="background2" w:themeShade="80"/>
            </w:tcBorders>
            <w:vAlign w:val="center"/>
          </w:tcPr>
          <w:p w:rsidR="00E7192C" w:rsidRPr="00C76CA8" w:rsidRDefault="00E7192C" w:rsidP="00232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CA8">
              <w:rPr>
                <w:rFonts w:ascii="Arial" w:hAnsi="Arial" w:cs="Arial"/>
                <w:sz w:val="24"/>
                <w:szCs w:val="24"/>
              </w:rPr>
              <w:t>enero 20</w:t>
            </w:r>
            <w:r w:rsidR="00232DB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7192C" w:rsidRPr="00C76CA8" w:rsidTr="00516971">
        <w:trPr>
          <w:trHeight w:val="470"/>
        </w:trPr>
        <w:tc>
          <w:tcPr>
            <w:tcW w:w="6345" w:type="dxa"/>
            <w:tcBorders>
              <w:right w:val="single" w:sz="12" w:space="0" w:color="767171" w:themeColor="background2" w:themeShade="80"/>
            </w:tcBorders>
            <w:vAlign w:val="center"/>
          </w:tcPr>
          <w:p w:rsidR="00E7192C" w:rsidRPr="00C76CA8" w:rsidRDefault="00E7192C" w:rsidP="00E7192C">
            <w:pPr>
              <w:rPr>
                <w:rFonts w:ascii="Arial" w:hAnsi="Arial" w:cs="Arial"/>
                <w:sz w:val="24"/>
                <w:szCs w:val="24"/>
              </w:rPr>
            </w:pPr>
            <w:r w:rsidRPr="00C76CA8">
              <w:rPr>
                <w:rFonts w:ascii="Arial" w:hAnsi="Arial" w:cs="Arial"/>
                <w:sz w:val="24"/>
                <w:szCs w:val="24"/>
              </w:rPr>
              <w:t>Reunión Ordinaria de la Comisión</w:t>
            </w:r>
          </w:p>
        </w:tc>
        <w:tc>
          <w:tcPr>
            <w:tcW w:w="2709" w:type="dxa"/>
            <w:tcBorders>
              <w:left w:val="single" w:sz="12" w:space="0" w:color="767171" w:themeColor="background2" w:themeShade="80"/>
            </w:tcBorders>
            <w:vAlign w:val="center"/>
          </w:tcPr>
          <w:p w:rsidR="00E7192C" w:rsidRPr="00C76CA8" w:rsidRDefault="00232DB4" w:rsidP="00E71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febrero 2020</w:t>
            </w:r>
          </w:p>
        </w:tc>
      </w:tr>
      <w:tr w:rsidR="00E7192C" w:rsidRPr="00C76CA8" w:rsidTr="00516971">
        <w:trPr>
          <w:trHeight w:val="534"/>
        </w:trPr>
        <w:tc>
          <w:tcPr>
            <w:tcW w:w="6345" w:type="dxa"/>
            <w:tcBorders>
              <w:right w:val="single" w:sz="12" w:space="0" w:color="767171" w:themeColor="background2" w:themeShade="80"/>
            </w:tcBorders>
            <w:vAlign w:val="center"/>
          </w:tcPr>
          <w:p w:rsidR="00E7192C" w:rsidRPr="00C76CA8" w:rsidRDefault="00E7192C" w:rsidP="00E7192C">
            <w:pPr>
              <w:rPr>
                <w:rFonts w:ascii="Arial" w:hAnsi="Arial" w:cs="Arial"/>
                <w:sz w:val="24"/>
                <w:szCs w:val="24"/>
              </w:rPr>
            </w:pPr>
            <w:r w:rsidRPr="00C76CA8">
              <w:rPr>
                <w:rFonts w:ascii="Arial" w:hAnsi="Arial" w:cs="Arial"/>
                <w:sz w:val="24"/>
                <w:szCs w:val="24"/>
              </w:rPr>
              <w:t>Reunión Ordinaria de la Comisión</w:t>
            </w:r>
          </w:p>
        </w:tc>
        <w:tc>
          <w:tcPr>
            <w:tcW w:w="2709" w:type="dxa"/>
            <w:tcBorders>
              <w:left w:val="single" w:sz="12" w:space="0" w:color="767171" w:themeColor="background2" w:themeShade="80"/>
            </w:tcBorders>
            <w:vAlign w:val="center"/>
          </w:tcPr>
          <w:p w:rsidR="00E7192C" w:rsidRPr="00C76CA8" w:rsidRDefault="00232DB4" w:rsidP="00E71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marzo 2020</w:t>
            </w:r>
          </w:p>
        </w:tc>
      </w:tr>
      <w:tr w:rsidR="00E7192C" w:rsidRPr="00C76CA8" w:rsidTr="00516971">
        <w:trPr>
          <w:trHeight w:val="542"/>
        </w:trPr>
        <w:tc>
          <w:tcPr>
            <w:tcW w:w="6345" w:type="dxa"/>
            <w:tcBorders>
              <w:right w:val="single" w:sz="12" w:space="0" w:color="767171" w:themeColor="background2" w:themeShade="80"/>
            </w:tcBorders>
            <w:vAlign w:val="center"/>
          </w:tcPr>
          <w:p w:rsidR="00E7192C" w:rsidRPr="00C76CA8" w:rsidRDefault="00E7192C" w:rsidP="00E7192C">
            <w:pPr>
              <w:rPr>
                <w:rFonts w:ascii="Arial" w:hAnsi="Arial" w:cs="Arial"/>
                <w:sz w:val="24"/>
                <w:szCs w:val="24"/>
              </w:rPr>
            </w:pPr>
            <w:r w:rsidRPr="00C76CA8">
              <w:rPr>
                <w:rFonts w:ascii="Arial" w:hAnsi="Arial" w:cs="Arial"/>
                <w:sz w:val="24"/>
                <w:szCs w:val="24"/>
              </w:rPr>
              <w:t>Reunión Ordinaria de la Comisión</w:t>
            </w:r>
          </w:p>
        </w:tc>
        <w:tc>
          <w:tcPr>
            <w:tcW w:w="2709" w:type="dxa"/>
            <w:tcBorders>
              <w:left w:val="single" w:sz="12" w:space="0" w:color="767171" w:themeColor="background2" w:themeShade="80"/>
            </w:tcBorders>
            <w:vAlign w:val="center"/>
          </w:tcPr>
          <w:p w:rsidR="00E7192C" w:rsidRPr="00C76CA8" w:rsidRDefault="00232DB4" w:rsidP="00E71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abril 2020</w:t>
            </w:r>
          </w:p>
        </w:tc>
      </w:tr>
      <w:tr w:rsidR="00E7192C" w:rsidRPr="00C76CA8" w:rsidTr="00516971">
        <w:trPr>
          <w:trHeight w:val="537"/>
        </w:trPr>
        <w:tc>
          <w:tcPr>
            <w:tcW w:w="6345" w:type="dxa"/>
            <w:tcBorders>
              <w:right w:val="single" w:sz="12" w:space="0" w:color="767171" w:themeColor="background2" w:themeShade="80"/>
            </w:tcBorders>
            <w:vAlign w:val="center"/>
          </w:tcPr>
          <w:p w:rsidR="00E7192C" w:rsidRPr="00C76CA8" w:rsidRDefault="00E7192C" w:rsidP="00E7192C">
            <w:pPr>
              <w:rPr>
                <w:rFonts w:ascii="Arial" w:hAnsi="Arial" w:cs="Arial"/>
                <w:sz w:val="24"/>
                <w:szCs w:val="24"/>
              </w:rPr>
            </w:pPr>
            <w:r w:rsidRPr="00C76CA8">
              <w:rPr>
                <w:rFonts w:ascii="Arial" w:hAnsi="Arial" w:cs="Arial"/>
                <w:sz w:val="24"/>
                <w:szCs w:val="24"/>
              </w:rPr>
              <w:t>Reunión Ordinaria de la Comisión</w:t>
            </w:r>
          </w:p>
        </w:tc>
        <w:tc>
          <w:tcPr>
            <w:tcW w:w="2709" w:type="dxa"/>
            <w:tcBorders>
              <w:left w:val="single" w:sz="12" w:space="0" w:color="767171" w:themeColor="background2" w:themeShade="80"/>
            </w:tcBorders>
            <w:vAlign w:val="center"/>
          </w:tcPr>
          <w:p w:rsidR="00E7192C" w:rsidRPr="00C76CA8" w:rsidRDefault="00232DB4" w:rsidP="00E71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mayo 2020</w:t>
            </w:r>
          </w:p>
        </w:tc>
      </w:tr>
      <w:tr w:rsidR="00E7192C" w:rsidRPr="00C76CA8" w:rsidTr="00516971">
        <w:trPr>
          <w:trHeight w:val="530"/>
        </w:trPr>
        <w:tc>
          <w:tcPr>
            <w:tcW w:w="6345" w:type="dxa"/>
            <w:tcBorders>
              <w:right w:val="single" w:sz="12" w:space="0" w:color="767171" w:themeColor="background2" w:themeShade="80"/>
            </w:tcBorders>
            <w:vAlign w:val="center"/>
          </w:tcPr>
          <w:p w:rsidR="00E7192C" w:rsidRPr="00C76CA8" w:rsidRDefault="00E7192C" w:rsidP="00E7192C">
            <w:pPr>
              <w:rPr>
                <w:rFonts w:ascii="Arial" w:hAnsi="Arial" w:cs="Arial"/>
                <w:sz w:val="24"/>
                <w:szCs w:val="24"/>
              </w:rPr>
            </w:pPr>
            <w:r w:rsidRPr="00C76CA8">
              <w:rPr>
                <w:rFonts w:ascii="Arial" w:hAnsi="Arial" w:cs="Arial"/>
                <w:sz w:val="24"/>
                <w:szCs w:val="24"/>
              </w:rPr>
              <w:t>Reunión Ordinaria de la Comisión</w:t>
            </w:r>
          </w:p>
        </w:tc>
        <w:tc>
          <w:tcPr>
            <w:tcW w:w="2709" w:type="dxa"/>
            <w:tcBorders>
              <w:left w:val="single" w:sz="12" w:space="0" w:color="767171" w:themeColor="background2" w:themeShade="80"/>
            </w:tcBorders>
            <w:vAlign w:val="center"/>
          </w:tcPr>
          <w:p w:rsidR="00E7192C" w:rsidRPr="00C76CA8" w:rsidRDefault="00232DB4" w:rsidP="00E71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 2020</w:t>
            </w:r>
          </w:p>
        </w:tc>
      </w:tr>
      <w:tr w:rsidR="00E7192C" w:rsidRPr="00C76CA8" w:rsidTr="00516971">
        <w:trPr>
          <w:trHeight w:val="552"/>
        </w:trPr>
        <w:tc>
          <w:tcPr>
            <w:tcW w:w="6345" w:type="dxa"/>
            <w:tcBorders>
              <w:right w:val="single" w:sz="12" w:space="0" w:color="767171" w:themeColor="background2" w:themeShade="80"/>
            </w:tcBorders>
            <w:vAlign w:val="center"/>
          </w:tcPr>
          <w:p w:rsidR="00E7192C" w:rsidRPr="00C76CA8" w:rsidRDefault="00E7192C" w:rsidP="00E7192C">
            <w:pPr>
              <w:rPr>
                <w:rFonts w:ascii="Arial" w:hAnsi="Arial" w:cs="Arial"/>
                <w:sz w:val="24"/>
                <w:szCs w:val="24"/>
              </w:rPr>
            </w:pPr>
            <w:r w:rsidRPr="00C76CA8">
              <w:rPr>
                <w:rFonts w:ascii="Arial" w:hAnsi="Arial" w:cs="Arial"/>
                <w:sz w:val="24"/>
                <w:szCs w:val="24"/>
              </w:rPr>
              <w:t>Reunión Ordinaria de la Comisión</w:t>
            </w:r>
          </w:p>
        </w:tc>
        <w:tc>
          <w:tcPr>
            <w:tcW w:w="2709" w:type="dxa"/>
            <w:tcBorders>
              <w:left w:val="single" w:sz="12" w:space="0" w:color="767171" w:themeColor="background2" w:themeShade="80"/>
            </w:tcBorders>
            <w:vAlign w:val="center"/>
          </w:tcPr>
          <w:p w:rsidR="00E7192C" w:rsidRPr="00C76CA8" w:rsidRDefault="00232DB4" w:rsidP="00E71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julio 2020</w:t>
            </w:r>
          </w:p>
        </w:tc>
      </w:tr>
      <w:tr w:rsidR="00E7192C" w:rsidRPr="00C76CA8" w:rsidTr="00516971">
        <w:trPr>
          <w:trHeight w:val="532"/>
        </w:trPr>
        <w:tc>
          <w:tcPr>
            <w:tcW w:w="6345" w:type="dxa"/>
            <w:tcBorders>
              <w:right w:val="single" w:sz="12" w:space="0" w:color="767171" w:themeColor="background2" w:themeShade="80"/>
            </w:tcBorders>
            <w:vAlign w:val="center"/>
          </w:tcPr>
          <w:p w:rsidR="00E7192C" w:rsidRPr="00C76CA8" w:rsidRDefault="00E7192C" w:rsidP="00E7192C">
            <w:pPr>
              <w:rPr>
                <w:rFonts w:ascii="Arial" w:hAnsi="Arial" w:cs="Arial"/>
                <w:sz w:val="24"/>
                <w:szCs w:val="24"/>
              </w:rPr>
            </w:pPr>
            <w:r w:rsidRPr="00C76CA8">
              <w:rPr>
                <w:rFonts w:ascii="Arial" w:hAnsi="Arial" w:cs="Arial"/>
                <w:sz w:val="24"/>
                <w:szCs w:val="24"/>
              </w:rPr>
              <w:t>Reunión Ordinaria de la Comisión</w:t>
            </w:r>
          </w:p>
        </w:tc>
        <w:tc>
          <w:tcPr>
            <w:tcW w:w="2709" w:type="dxa"/>
            <w:tcBorders>
              <w:left w:val="single" w:sz="12" w:space="0" w:color="767171" w:themeColor="background2" w:themeShade="80"/>
            </w:tcBorders>
            <w:vAlign w:val="center"/>
          </w:tcPr>
          <w:p w:rsidR="00E7192C" w:rsidRPr="00C76CA8" w:rsidRDefault="00232DB4" w:rsidP="00E71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agosto 2020</w:t>
            </w:r>
          </w:p>
        </w:tc>
      </w:tr>
    </w:tbl>
    <w:p w:rsidR="00E7192C" w:rsidRDefault="00E7192C" w:rsidP="00E719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76CA8" w:rsidRDefault="00C76CA8" w:rsidP="00E7192C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C76CA8" w:rsidSect="001B3719">
          <w:headerReference w:type="default" r:id="rId8"/>
          <w:footerReference w:type="default" r:id="rId9"/>
          <w:pgSz w:w="12240" w:h="15840"/>
          <w:pgMar w:top="2694" w:right="1701" w:bottom="1417" w:left="1701" w:header="567" w:footer="423" w:gutter="0"/>
          <w:cols w:space="708"/>
          <w:docGrid w:linePitch="360"/>
        </w:sectPr>
      </w:pPr>
    </w:p>
    <w:tbl>
      <w:tblPr>
        <w:tblStyle w:val="Tablaconcuadrcula"/>
        <w:tblW w:w="0" w:type="auto"/>
        <w:tblInd w:w="-431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962"/>
        <w:gridCol w:w="709"/>
        <w:gridCol w:w="697"/>
        <w:gridCol w:w="693"/>
        <w:gridCol w:w="595"/>
        <w:gridCol w:w="708"/>
        <w:gridCol w:w="700"/>
        <w:gridCol w:w="718"/>
        <w:gridCol w:w="709"/>
        <w:gridCol w:w="708"/>
        <w:gridCol w:w="709"/>
        <w:gridCol w:w="709"/>
        <w:gridCol w:w="810"/>
      </w:tblGrid>
      <w:tr w:rsidR="00C76CA8" w:rsidTr="00201C86">
        <w:tc>
          <w:tcPr>
            <w:tcW w:w="13427" w:type="dxa"/>
            <w:gridSpan w:val="13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/>
              <w:right w:val="single" w:sz="4" w:space="0" w:color="9CC2E5"/>
            </w:tcBorders>
            <w:shd w:val="clear" w:color="auto" w:fill="1F4E79" w:themeFill="accent1" w:themeFillShade="80"/>
          </w:tcPr>
          <w:p w:rsidR="00C76CA8" w:rsidRPr="00786796" w:rsidRDefault="00C76CA8" w:rsidP="00201C8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CALENDARIZACION DE ACTIVIDADES COMPLEMENTARIAS DE LA COMISIÓN DE PESCA</w:t>
            </w:r>
          </w:p>
          <w:p w:rsidR="00C76CA8" w:rsidRDefault="00232DB4" w:rsidP="00201C86">
            <w:pPr>
              <w:jc w:val="center"/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2019-2020</w:t>
            </w:r>
          </w:p>
        </w:tc>
      </w:tr>
      <w:tr w:rsidR="00C76CA8" w:rsidTr="00201C86">
        <w:trPr>
          <w:trHeight w:val="448"/>
        </w:trPr>
        <w:tc>
          <w:tcPr>
            <w:tcW w:w="4962" w:type="dxa"/>
            <w:tcBorders>
              <w:top w:val="single" w:sz="4" w:space="0" w:color="9CC2E5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1F4E79" w:themeFill="accent1" w:themeFillShade="80"/>
            <w:vAlign w:val="center"/>
          </w:tcPr>
          <w:p w:rsidR="00C76CA8" w:rsidRPr="00786796" w:rsidRDefault="00C76CA8" w:rsidP="00201C8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86796">
              <w:rPr>
                <w:rFonts w:ascii="Arial" w:hAnsi="Arial" w:cs="Arial"/>
                <w:b/>
                <w:color w:val="FFFFFF" w:themeColor="background1"/>
              </w:rPr>
              <w:t>ACCIÓN</w:t>
            </w:r>
          </w:p>
        </w:tc>
        <w:tc>
          <w:tcPr>
            <w:tcW w:w="709" w:type="dxa"/>
            <w:tcBorders>
              <w:top w:val="single" w:sz="12" w:space="0" w:color="9CC2E5"/>
              <w:left w:val="single" w:sz="4" w:space="0" w:color="9CC2E5" w:themeColor="accent1" w:themeTint="99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C76CA8" w:rsidRPr="00786796" w:rsidRDefault="00C76CA8" w:rsidP="00201C8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86796">
              <w:rPr>
                <w:rFonts w:ascii="Arial" w:hAnsi="Arial" w:cs="Arial"/>
                <w:b/>
                <w:color w:val="FFFFFF" w:themeColor="background1"/>
              </w:rPr>
              <w:t>SEP</w:t>
            </w:r>
          </w:p>
        </w:tc>
        <w:tc>
          <w:tcPr>
            <w:tcW w:w="697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C76CA8" w:rsidRPr="00786796" w:rsidRDefault="00C76CA8" w:rsidP="00201C8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86796">
              <w:rPr>
                <w:rFonts w:ascii="Arial" w:hAnsi="Arial" w:cs="Arial"/>
                <w:b/>
                <w:color w:val="FFFFFF" w:themeColor="background1"/>
              </w:rPr>
              <w:t>OCT</w:t>
            </w:r>
          </w:p>
        </w:tc>
        <w:tc>
          <w:tcPr>
            <w:tcW w:w="693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C76CA8" w:rsidRPr="00786796" w:rsidRDefault="00C76CA8" w:rsidP="00201C8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86796">
              <w:rPr>
                <w:rFonts w:ascii="Arial" w:hAnsi="Arial" w:cs="Arial"/>
                <w:b/>
                <w:color w:val="FFFFFF" w:themeColor="background1"/>
              </w:rPr>
              <w:t>NOV</w:t>
            </w:r>
          </w:p>
        </w:tc>
        <w:tc>
          <w:tcPr>
            <w:tcW w:w="595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C76CA8" w:rsidRPr="00786796" w:rsidRDefault="00C76CA8" w:rsidP="00201C8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86796">
              <w:rPr>
                <w:rFonts w:ascii="Arial" w:hAnsi="Arial" w:cs="Arial"/>
                <w:b/>
                <w:color w:val="FFFFFF" w:themeColor="background1"/>
              </w:rPr>
              <w:t>DIC</w:t>
            </w:r>
          </w:p>
        </w:tc>
        <w:tc>
          <w:tcPr>
            <w:tcW w:w="708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C76CA8" w:rsidRPr="00786796" w:rsidRDefault="00C76CA8" w:rsidP="00201C8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86796">
              <w:rPr>
                <w:rFonts w:ascii="Arial" w:hAnsi="Arial" w:cs="Arial"/>
                <w:b/>
                <w:color w:val="FFFFFF" w:themeColor="background1"/>
              </w:rPr>
              <w:t>ENE</w:t>
            </w:r>
          </w:p>
        </w:tc>
        <w:tc>
          <w:tcPr>
            <w:tcW w:w="700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C76CA8" w:rsidRPr="00786796" w:rsidRDefault="00C76CA8" w:rsidP="00201C8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86796">
              <w:rPr>
                <w:rFonts w:ascii="Arial" w:hAnsi="Arial" w:cs="Arial"/>
                <w:b/>
                <w:color w:val="FFFFFF" w:themeColor="background1"/>
              </w:rPr>
              <w:t>FEB</w:t>
            </w:r>
          </w:p>
        </w:tc>
        <w:tc>
          <w:tcPr>
            <w:tcW w:w="718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C76CA8" w:rsidRPr="00786796" w:rsidRDefault="00C76CA8" w:rsidP="00201C8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86796">
              <w:rPr>
                <w:rFonts w:ascii="Arial" w:hAnsi="Arial" w:cs="Arial"/>
                <w:b/>
                <w:color w:val="FFFFFF" w:themeColor="background1"/>
              </w:rPr>
              <w:t>MAR</w:t>
            </w:r>
          </w:p>
        </w:tc>
        <w:tc>
          <w:tcPr>
            <w:tcW w:w="709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C76CA8" w:rsidRPr="00786796" w:rsidRDefault="00C76CA8" w:rsidP="00201C8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86796">
              <w:rPr>
                <w:rFonts w:ascii="Arial" w:hAnsi="Arial" w:cs="Arial"/>
                <w:b/>
                <w:color w:val="FFFFFF" w:themeColor="background1"/>
              </w:rPr>
              <w:t>ABR</w:t>
            </w:r>
          </w:p>
        </w:tc>
        <w:tc>
          <w:tcPr>
            <w:tcW w:w="708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C76CA8" w:rsidRPr="00786796" w:rsidRDefault="00C76CA8" w:rsidP="00201C8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86796">
              <w:rPr>
                <w:rFonts w:ascii="Arial" w:hAnsi="Arial" w:cs="Arial"/>
                <w:b/>
                <w:color w:val="FFFFFF" w:themeColor="background1"/>
              </w:rPr>
              <w:t>MAY</w:t>
            </w:r>
          </w:p>
        </w:tc>
        <w:tc>
          <w:tcPr>
            <w:tcW w:w="709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C76CA8" w:rsidRPr="00786796" w:rsidRDefault="00C76CA8" w:rsidP="00201C8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86796">
              <w:rPr>
                <w:rFonts w:ascii="Arial" w:hAnsi="Arial" w:cs="Arial"/>
                <w:b/>
                <w:color w:val="FFFFFF" w:themeColor="background1"/>
              </w:rPr>
              <w:t>JUN</w:t>
            </w:r>
          </w:p>
        </w:tc>
        <w:tc>
          <w:tcPr>
            <w:tcW w:w="709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C76CA8" w:rsidRPr="00786796" w:rsidRDefault="00C76CA8" w:rsidP="00201C8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86796">
              <w:rPr>
                <w:rFonts w:ascii="Arial" w:hAnsi="Arial" w:cs="Arial"/>
                <w:b/>
                <w:color w:val="FFFFFF" w:themeColor="background1"/>
              </w:rPr>
              <w:t>JUL</w:t>
            </w:r>
          </w:p>
        </w:tc>
        <w:tc>
          <w:tcPr>
            <w:tcW w:w="810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C76CA8" w:rsidRPr="00786796" w:rsidRDefault="00C76CA8" w:rsidP="00201C8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86796">
              <w:rPr>
                <w:rFonts w:ascii="Arial" w:hAnsi="Arial" w:cs="Arial"/>
                <w:b/>
                <w:color w:val="FFFFFF" w:themeColor="background1"/>
              </w:rPr>
              <w:t>AGO</w:t>
            </w:r>
          </w:p>
        </w:tc>
      </w:tr>
      <w:tr w:rsidR="00C76CA8" w:rsidRPr="00222E92" w:rsidTr="00222E92">
        <w:trPr>
          <w:trHeight w:val="455"/>
        </w:trPr>
        <w:tc>
          <w:tcPr>
            <w:tcW w:w="4962" w:type="dxa"/>
            <w:tcBorders>
              <w:top w:val="single" w:sz="4" w:space="0" w:color="9CC2E5" w:themeColor="accent1" w:themeTint="99"/>
              <w:right w:val="single" w:sz="4" w:space="0" w:color="1F4E79" w:themeColor="accent1" w:themeShade="80"/>
            </w:tcBorders>
            <w:vAlign w:val="center"/>
          </w:tcPr>
          <w:p w:rsidR="00C76CA8" w:rsidRPr="00222E92" w:rsidRDefault="00D90649" w:rsidP="00C76CA8">
            <w:pPr>
              <w:jc w:val="both"/>
              <w:rPr>
                <w:rFonts w:ascii="Arial" w:hAnsi="Arial" w:cs="Arial"/>
              </w:rPr>
            </w:pPr>
            <w:r w:rsidRPr="00222E92">
              <w:rPr>
                <w:rFonts w:ascii="Arial" w:hAnsi="Arial" w:cs="Arial"/>
              </w:rPr>
              <w:t xml:space="preserve">Reuniones con Funcionarios e integrantes del Sector Pesquero y Acuícola Nacional  </w:t>
            </w:r>
          </w:p>
        </w:tc>
        <w:tc>
          <w:tcPr>
            <w:tcW w:w="709" w:type="dxa"/>
            <w:tcBorders>
              <w:top w:val="single" w:sz="12" w:space="0" w:color="9CC2E5"/>
              <w:left w:val="single" w:sz="4" w:space="0" w:color="1F4E79" w:themeColor="accent1" w:themeShade="80"/>
              <w:bottom w:val="single" w:sz="12" w:space="0" w:color="9CC2E5"/>
              <w:right w:val="single" w:sz="12" w:space="0" w:color="9CC2E5"/>
            </w:tcBorders>
            <w:vAlign w:val="center"/>
          </w:tcPr>
          <w:p w:rsidR="00C76CA8" w:rsidRPr="00222E92" w:rsidRDefault="00C76CA8" w:rsidP="00201C86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C76CA8" w:rsidRPr="00222E92" w:rsidRDefault="00C76CA8" w:rsidP="00201C86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C76CA8" w:rsidRPr="00222E92" w:rsidRDefault="00C76CA8" w:rsidP="00201C86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vAlign w:val="center"/>
          </w:tcPr>
          <w:p w:rsidR="00C76CA8" w:rsidRPr="00222E92" w:rsidRDefault="00C76CA8" w:rsidP="00201C8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vAlign w:val="center"/>
          </w:tcPr>
          <w:p w:rsidR="00C76CA8" w:rsidRPr="00222E92" w:rsidRDefault="00C76CA8" w:rsidP="00201C86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vAlign w:val="center"/>
          </w:tcPr>
          <w:p w:rsidR="00C76CA8" w:rsidRPr="00222E92" w:rsidRDefault="00C76CA8" w:rsidP="00201C86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vAlign w:val="center"/>
          </w:tcPr>
          <w:p w:rsidR="00C76CA8" w:rsidRPr="00222E92" w:rsidRDefault="00C76CA8" w:rsidP="00201C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vAlign w:val="center"/>
          </w:tcPr>
          <w:p w:rsidR="00C76CA8" w:rsidRPr="00222E92" w:rsidRDefault="00C76CA8" w:rsidP="00201C8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vAlign w:val="center"/>
          </w:tcPr>
          <w:p w:rsidR="00C76CA8" w:rsidRPr="00222E92" w:rsidRDefault="00C76CA8" w:rsidP="00201C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vAlign w:val="center"/>
          </w:tcPr>
          <w:p w:rsidR="00C76CA8" w:rsidRPr="00222E92" w:rsidRDefault="00C76CA8" w:rsidP="00201C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vAlign w:val="center"/>
          </w:tcPr>
          <w:p w:rsidR="00C76CA8" w:rsidRPr="00222E92" w:rsidRDefault="00C76CA8" w:rsidP="00201C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vAlign w:val="center"/>
          </w:tcPr>
          <w:p w:rsidR="00C76CA8" w:rsidRPr="00222E92" w:rsidRDefault="00C76CA8" w:rsidP="00201C86">
            <w:pPr>
              <w:rPr>
                <w:rFonts w:ascii="Arial" w:hAnsi="Arial" w:cs="Arial"/>
              </w:rPr>
            </w:pPr>
          </w:p>
        </w:tc>
      </w:tr>
      <w:tr w:rsidR="00222E92" w:rsidRPr="00222E92" w:rsidTr="00222E92">
        <w:trPr>
          <w:trHeight w:val="519"/>
        </w:trPr>
        <w:tc>
          <w:tcPr>
            <w:tcW w:w="4962" w:type="dxa"/>
            <w:tcBorders>
              <w:top w:val="single" w:sz="4" w:space="0" w:color="9CC2E5" w:themeColor="accent1" w:themeTint="99"/>
              <w:right w:val="single" w:sz="4" w:space="0" w:color="1F4E79" w:themeColor="accent1" w:themeShade="80"/>
            </w:tcBorders>
            <w:vAlign w:val="center"/>
          </w:tcPr>
          <w:p w:rsidR="00222E92" w:rsidRPr="00222E92" w:rsidRDefault="00222E92" w:rsidP="00222E92">
            <w:pPr>
              <w:jc w:val="both"/>
              <w:rPr>
                <w:rFonts w:ascii="Arial" w:hAnsi="Arial" w:cs="Arial"/>
              </w:rPr>
            </w:pPr>
            <w:r w:rsidRPr="00222E92">
              <w:rPr>
                <w:rFonts w:ascii="Arial" w:hAnsi="Arial" w:cs="Arial"/>
              </w:rPr>
              <w:t>Análisis y redacción de la opinión de la Comisión respecto al Proyecto de Presupuesto para el Ejercicio Fiscal 2019</w:t>
            </w:r>
          </w:p>
        </w:tc>
        <w:tc>
          <w:tcPr>
            <w:tcW w:w="709" w:type="dxa"/>
            <w:tcBorders>
              <w:top w:val="single" w:sz="12" w:space="0" w:color="9CC2E5"/>
              <w:left w:val="single" w:sz="4" w:space="0" w:color="1F4E79" w:themeColor="accent1" w:themeShade="80"/>
              <w:bottom w:val="single" w:sz="12" w:space="0" w:color="9CC2E5"/>
              <w:right w:val="single" w:sz="12" w:space="0" w:color="9CC2E5"/>
            </w:tcBorders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auto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</w:tr>
      <w:tr w:rsidR="00222E92" w:rsidRPr="00222E92" w:rsidTr="006F6C08">
        <w:trPr>
          <w:trHeight w:val="389"/>
        </w:trPr>
        <w:tc>
          <w:tcPr>
            <w:tcW w:w="4962" w:type="dxa"/>
            <w:tcBorders>
              <w:top w:val="single" w:sz="4" w:space="0" w:color="9CC2E5" w:themeColor="accent1" w:themeTint="99"/>
              <w:right w:val="single" w:sz="4" w:space="0" w:color="1F4E79" w:themeColor="accent1" w:themeShade="80"/>
            </w:tcBorders>
            <w:vAlign w:val="center"/>
          </w:tcPr>
          <w:p w:rsidR="00222E92" w:rsidRPr="00222E92" w:rsidRDefault="00222E92" w:rsidP="00222E92">
            <w:pPr>
              <w:jc w:val="both"/>
              <w:rPr>
                <w:rFonts w:ascii="Arial" w:hAnsi="Arial" w:cs="Arial"/>
              </w:rPr>
            </w:pPr>
            <w:r w:rsidRPr="00222E92">
              <w:rPr>
                <w:rFonts w:ascii="Arial" w:hAnsi="Arial" w:cs="Arial"/>
              </w:rPr>
              <w:t>Realizar mesas de trabajo con OSC</w:t>
            </w:r>
          </w:p>
        </w:tc>
        <w:tc>
          <w:tcPr>
            <w:tcW w:w="709" w:type="dxa"/>
            <w:tcBorders>
              <w:top w:val="single" w:sz="12" w:space="0" w:color="9CC2E5"/>
              <w:left w:val="single" w:sz="4" w:space="0" w:color="1F4E79" w:themeColor="accent1" w:themeShade="80"/>
              <w:bottom w:val="single" w:sz="12" w:space="0" w:color="9CC2E5"/>
              <w:right w:val="single" w:sz="12" w:space="0" w:color="9CC2E5"/>
            </w:tcBorders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auto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</w:tr>
      <w:tr w:rsidR="00222E92" w:rsidRPr="00222E92" w:rsidTr="006F6C08">
        <w:trPr>
          <w:trHeight w:val="395"/>
        </w:trPr>
        <w:tc>
          <w:tcPr>
            <w:tcW w:w="4962" w:type="dxa"/>
            <w:tcBorders>
              <w:right w:val="single" w:sz="4" w:space="0" w:color="1F4E79" w:themeColor="accent1" w:themeShade="80"/>
            </w:tcBorders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  <w:r w:rsidRPr="00222E92">
              <w:rPr>
                <w:rFonts w:ascii="Arial" w:hAnsi="Arial" w:cs="Arial"/>
              </w:rPr>
              <w:t>Realizar Foros y/o Seminarios</w:t>
            </w:r>
          </w:p>
        </w:tc>
        <w:tc>
          <w:tcPr>
            <w:tcW w:w="709" w:type="dxa"/>
            <w:tcBorders>
              <w:top w:val="single" w:sz="12" w:space="0" w:color="9CC2E5"/>
              <w:left w:val="single" w:sz="4" w:space="0" w:color="1F4E79" w:themeColor="accent1" w:themeShade="80"/>
              <w:bottom w:val="single" w:sz="12" w:space="0" w:color="9CC2E5"/>
              <w:right w:val="single" w:sz="12" w:space="0" w:color="9CC2E5"/>
            </w:tcBorders>
            <w:shd w:val="clear" w:color="auto" w:fill="auto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FFFFFF" w:themeFill="background1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auto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FFFFFF" w:themeFill="background1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FFFFFF" w:themeFill="background1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auto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</w:tr>
      <w:tr w:rsidR="00222E92" w:rsidRPr="00222E92" w:rsidTr="00222E92">
        <w:trPr>
          <w:trHeight w:val="402"/>
        </w:trPr>
        <w:tc>
          <w:tcPr>
            <w:tcW w:w="4962" w:type="dxa"/>
            <w:tcBorders>
              <w:right w:val="single" w:sz="4" w:space="0" w:color="1F4E79" w:themeColor="accent1" w:themeShade="80"/>
            </w:tcBorders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  <w:r w:rsidRPr="00222E92">
              <w:rPr>
                <w:rFonts w:ascii="Arial" w:hAnsi="Arial" w:cs="Arial"/>
              </w:rPr>
              <w:t>Reuniones Ordinarias o Directivas</w:t>
            </w:r>
          </w:p>
        </w:tc>
        <w:tc>
          <w:tcPr>
            <w:tcW w:w="709" w:type="dxa"/>
            <w:tcBorders>
              <w:top w:val="single" w:sz="12" w:space="0" w:color="9CC2E5"/>
              <w:left w:val="single" w:sz="4" w:space="0" w:color="1F4E79" w:themeColor="accent1" w:themeShade="80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</w:tr>
      <w:tr w:rsidR="00222E92" w:rsidRPr="00222E92" w:rsidTr="006F6C08">
        <w:trPr>
          <w:trHeight w:val="394"/>
        </w:trPr>
        <w:tc>
          <w:tcPr>
            <w:tcW w:w="4962" w:type="dxa"/>
            <w:tcBorders>
              <w:right w:val="single" w:sz="4" w:space="0" w:color="1F4E79" w:themeColor="accent1" w:themeShade="80"/>
            </w:tcBorders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  <w:r w:rsidRPr="00222E92">
              <w:rPr>
                <w:rFonts w:ascii="Arial" w:hAnsi="Arial" w:cs="Arial"/>
              </w:rPr>
              <w:t>Realizar visitas de campo</w:t>
            </w:r>
          </w:p>
        </w:tc>
        <w:tc>
          <w:tcPr>
            <w:tcW w:w="709" w:type="dxa"/>
            <w:tcBorders>
              <w:top w:val="single" w:sz="12" w:space="0" w:color="9CC2E5"/>
              <w:left w:val="single" w:sz="4" w:space="0" w:color="1F4E79" w:themeColor="accent1" w:themeShade="80"/>
              <w:bottom w:val="single" w:sz="12" w:space="0" w:color="9CC2E5"/>
              <w:right w:val="single" w:sz="12" w:space="0" w:color="9CC2E5"/>
            </w:tcBorders>
            <w:shd w:val="clear" w:color="auto" w:fill="auto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auto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auto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auto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FFFFFF" w:themeFill="background1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FFFFFF" w:themeFill="background1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FFFFFF" w:themeFill="background1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</w:tr>
      <w:tr w:rsidR="00222E92" w:rsidRPr="00222E92" w:rsidTr="00222E92">
        <w:trPr>
          <w:trHeight w:val="563"/>
        </w:trPr>
        <w:tc>
          <w:tcPr>
            <w:tcW w:w="4962" w:type="dxa"/>
            <w:tcBorders>
              <w:right w:val="single" w:sz="4" w:space="0" w:color="1F4E79" w:themeColor="accent1" w:themeShade="80"/>
            </w:tcBorders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  <w:r w:rsidRPr="00222E92">
              <w:rPr>
                <w:rFonts w:ascii="Arial" w:hAnsi="Arial" w:cs="Arial"/>
              </w:rPr>
              <w:t>Dictaminar proyectos de iniciativa turnados por la Mesa Directiva de la LXIII Legislatura</w:t>
            </w:r>
          </w:p>
        </w:tc>
        <w:tc>
          <w:tcPr>
            <w:tcW w:w="709" w:type="dxa"/>
            <w:tcBorders>
              <w:top w:val="single" w:sz="12" w:space="0" w:color="9CC2E5"/>
              <w:left w:val="single" w:sz="4" w:space="0" w:color="1F4E79" w:themeColor="accent1" w:themeShade="80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</w:tr>
      <w:tr w:rsidR="00222E92" w:rsidRPr="00222E92" w:rsidTr="00222E92">
        <w:trPr>
          <w:trHeight w:val="684"/>
        </w:trPr>
        <w:tc>
          <w:tcPr>
            <w:tcW w:w="4962" w:type="dxa"/>
            <w:tcBorders>
              <w:right w:val="single" w:sz="4" w:space="0" w:color="1F4E79" w:themeColor="accent1" w:themeShade="80"/>
            </w:tcBorders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  <w:r w:rsidRPr="00222E92">
              <w:rPr>
                <w:rFonts w:ascii="Arial" w:hAnsi="Arial" w:cs="Arial"/>
              </w:rPr>
              <w:t>Elaborar y aprobar Programa Anual e Informes semestrales de la Comisión</w:t>
            </w:r>
          </w:p>
        </w:tc>
        <w:tc>
          <w:tcPr>
            <w:tcW w:w="709" w:type="dxa"/>
            <w:tcBorders>
              <w:top w:val="single" w:sz="12" w:space="0" w:color="9CC2E5"/>
              <w:left w:val="single" w:sz="4" w:space="0" w:color="1F4E79" w:themeColor="accent1" w:themeShade="80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auto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FFFFFF" w:themeFill="background1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FFFFFF" w:themeFill="background1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FFFFFF" w:themeFill="background1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FFFFFF" w:themeFill="background1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FFFFFF" w:themeFill="background1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FFFFFF" w:themeFill="background1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FFFFFF" w:themeFill="background1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FFFFFF" w:themeFill="background1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</w:tr>
      <w:tr w:rsidR="00222E92" w:rsidRPr="00222E92" w:rsidTr="00222E92">
        <w:trPr>
          <w:trHeight w:val="805"/>
        </w:trPr>
        <w:tc>
          <w:tcPr>
            <w:tcW w:w="4962" w:type="dxa"/>
            <w:tcBorders>
              <w:right w:val="single" w:sz="4" w:space="0" w:color="1F4E79" w:themeColor="accent1" w:themeShade="80"/>
            </w:tcBorders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  <w:r w:rsidRPr="00222E92">
              <w:rPr>
                <w:rFonts w:ascii="Arial" w:hAnsi="Arial" w:cs="Arial"/>
              </w:rPr>
              <w:t>Cumplimiento de obligaciones en materia de transparencia y actualización periódica del Portal de la Comisión</w:t>
            </w:r>
          </w:p>
        </w:tc>
        <w:tc>
          <w:tcPr>
            <w:tcW w:w="709" w:type="dxa"/>
            <w:tcBorders>
              <w:top w:val="single" w:sz="12" w:space="0" w:color="9CC2E5"/>
              <w:left w:val="single" w:sz="4" w:space="0" w:color="1F4E79" w:themeColor="accent1" w:themeShade="80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1F4E79" w:themeFill="accent1" w:themeFillShade="80"/>
            <w:vAlign w:val="center"/>
          </w:tcPr>
          <w:p w:rsidR="00222E92" w:rsidRPr="00222E92" w:rsidRDefault="00222E92" w:rsidP="00222E92">
            <w:pPr>
              <w:rPr>
                <w:rFonts w:ascii="Arial" w:hAnsi="Arial" w:cs="Arial"/>
              </w:rPr>
            </w:pPr>
          </w:p>
        </w:tc>
      </w:tr>
    </w:tbl>
    <w:p w:rsidR="00C76CA8" w:rsidRDefault="00C76CA8" w:rsidP="00E7192C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C76CA8" w:rsidSect="00C76CA8">
          <w:headerReference w:type="default" r:id="rId10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C76CA8" w:rsidRPr="00C76CA8" w:rsidRDefault="00C76CA8" w:rsidP="00E719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192C" w:rsidRPr="00C76CA8" w:rsidRDefault="00E7192C" w:rsidP="00E719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6CA8">
        <w:rPr>
          <w:rFonts w:ascii="Arial" w:hAnsi="Arial" w:cs="Arial"/>
          <w:sz w:val="24"/>
          <w:szCs w:val="24"/>
        </w:rPr>
        <w:t xml:space="preserve">El carácter de este programa, por la naturaleza del trabajo legislativo, es enunciativo </w:t>
      </w:r>
      <w:r w:rsidR="004A1404" w:rsidRPr="00C76CA8">
        <w:rPr>
          <w:rFonts w:ascii="Arial" w:hAnsi="Arial" w:cs="Arial"/>
          <w:sz w:val="24"/>
          <w:szCs w:val="24"/>
        </w:rPr>
        <w:t>más</w:t>
      </w:r>
      <w:r w:rsidRPr="00C76CA8">
        <w:rPr>
          <w:rFonts w:ascii="Arial" w:hAnsi="Arial" w:cs="Arial"/>
          <w:sz w:val="24"/>
          <w:szCs w:val="24"/>
        </w:rPr>
        <w:t xml:space="preserve"> no limitativo en ningún sentido, por lo que se puede modi</w:t>
      </w:r>
      <w:r w:rsidR="004A1404">
        <w:rPr>
          <w:rFonts w:ascii="Arial" w:hAnsi="Arial" w:cs="Arial"/>
          <w:sz w:val="24"/>
          <w:szCs w:val="24"/>
        </w:rPr>
        <w:t>ficar, adicionar o suprimir con</w:t>
      </w:r>
      <w:r w:rsidRPr="00C76CA8">
        <w:rPr>
          <w:rFonts w:ascii="Arial" w:hAnsi="Arial" w:cs="Arial"/>
          <w:sz w:val="24"/>
          <w:szCs w:val="24"/>
        </w:rPr>
        <w:t>forme a las propuestas y necesidades generadas en el transcurso del año a que hace referencia.</w:t>
      </w:r>
    </w:p>
    <w:p w:rsidR="00E7192C" w:rsidRDefault="004A1404" w:rsidP="004A1404">
      <w:pPr>
        <w:tabs>
          <w:tab w:val="left" w:pos="3667"/>
          <w:tab w:val="right" w:pos="883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7192C" w:rsidRPr="00C76CA8">
        <w:rPr>
          <w:rFonts w:ascii="Arial" w:hAnsi="Arial" w:cs="Arial"/>
          <w:sz w:val="24"/>
          <w:szCs w:val="24"/>
        </w:rPr>
        <w:t xml:space="preserve">Palacio Legislativo, </w:t>
      </w:r>
      <w:r w:rsidR="00222E92">
        <w:rPr>
          <w:rFonts w:ascii="Arial" w:hAnsi="Arial" w:cs="Arial"/>
          <w:sz w:val="24"/>
          <w:szCs w:val="24"/>
        </w:rPr>
        <w:t>septiembre del 2019</w:t>
      </w:r>
      <w:r w:rsidR="00E7192C" w:rsidRPr="00C76CA8">
        <w:rPr>
          <w:rFonts w:ascii="Arial" w:hAnsi="Arial" w:cs="Arial"/>
          <w:sz w:val="24"/>
          <w:szCs w:val="24"/>
        </w:rPr>
        <w:t>.</w:t>
      </w:r>
    </w:p>
    <w:p w:rsidR="00373CB4" w:rsidRPr="00C76CA8" w:rsidRDefault="00373CB4" w:rsidP="00E7192C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sectPr w:rsidR="00373CB4" w:rsidRPr="00C76CA8" w:rsidSect="00C76CA8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545" w:rsidRDefault="00B90545" w:rsidP="00373CB4">
      <w:pPr>
        <w:spacing w:after="0" w:line="240" w:lineRule="auto"/>
      </w:pPr>
      <w:r>
        <w:separator/>
      </w:r>
    </w:p>
  </w:endnote>
  <w:endnote w:type="continuationSeparator" w:id="0">
    <w:p w:rsidR="00B90545" w:rsidRDefault="00B90545" w:rsidP="0037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54588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3719" w:rsidRDefault="001B3719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6D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6D1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3719" w:rsidRDefault="001B37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545" w:rsidRDefault="00B90545" w:rsidP="00373CB4">
      <w:pPr>
        <w:spacing w:after="0" w:line="240" w:lineRule="auto"/>
      </w:pPr>
      <w:r>
        <w:separator/>
      </w:r>
    </w:p>
  </w:footnote>
  <w:footnote w:type="continuationSeparator" w:id="0">
    <w:p w:rsidR="00B90545" w:rsidRDefault="00B90545" w:rsidP="00373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19" w:rsidRDefault="00492FC2" w:rsidP="001B3719">
    <w:pPr>
      <w:jc w:val="center"/>
      <w:rPr>
        <w:rFonts w:ascii="Bookman Old Style" w:hAnsi="Bookman Old Style" w:cs="Arial"/>
        <w:b/>
        <w:sz w:val="28"/>
      </w:rPr>
    </w:pPr>
    <w:r w:rsidRPr="00664B1B">
      <w:rPr>
        <w:rFonts w:ascii="Bookman Old Style" w:hAnsi="Bookman Old Style"/>
        <w:b/>
        <w:noProof/>
        <w:sz w:val="144"/>
        <w:szCs w:val="56"/>
        <w:lang w:eastAsia="es-MX"/>
      </w:rPr>
      <w:drawing>
        <wp:anchor distT="0" distB="0" distL="114300" distR="114300" simplePos="0" relativeHeight="251668480" behindDoc="0" locked="0" layoutInCell="1" allowOverlap="1" wp14:anchorId="1D76E1B5" wp14:editId="74BD959F">
          <wp:simplePos x="0" y="0"/>
          <wp:positionH relativeFrom="margin">
            <wp:posOffset>-470535</wp:posOffset>
          </wp:positionH>
          <wp:positionV relativeFrom="paragraph">
            <wp:posOffset>11430</wp:posOffset>
          </wp:positionV>
          <wp:extent cx="876300" cy="1285875"/>
          <wp:effectExtent l="0" t="0" r="0" b="9525"/>
          <wp:wrapSquare wrapText="bothSides"/>
          <wp:docPr id="3" name="Imagen 3" descr="C:\Users\Usuario\Pictures\Logotipo\png\LXIV Legislatura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Pictures\Logotipo\png\LXIV Legislatura_vertica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69" t="3789" r="9226" b="3986"/>
                  <a:stretch/>
                </pic:blipFill>
                <pic:spPr bwMode="auto">
                  <a:xfrm>
                    <a:off x="0" y="0"/>
                    <a:ext cx="8763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3719" w:rsidRPr="0067440C">
      <w:rPr>
        <w:rFonts w:ascii="Bookman Old Style" w:hAnsi="Bookman Old Style" w:cs="Arial"/>
        <w:b/>
        <w:sz w:val="28"/>
      </w:rPr>
      <w:t>COMISIÓN DE PESCA</w:t>
    </w:r>
  </w:p>
  <w:p w:rsidR="001B3719" w:rsidRDefault="001B3719" w:rsidP="001B3719">
    <w:pPr>
      <w:jc w:val="center"/>
      <w:rPr>
        <w:rFonts w:ascii="Bookman Old Style" w:hAnsi="Bookman Old Style" w:cs="Arial"/>
        <w:b/>
        <w:sz w:val="28"/>
      </w:rPr>
    </w:pPr>
    <w:r>
      <w:rPr>
        <w:rFonts w:ascii="Bookman Old Style" w:hAnsi="Bookman Old Style" w:cs="Arial"/>
        <w:b/>
        <w:noProof/>
        <w:color w:val="C00000"/>
        <w:sz w:val="56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749724</wp:posOffset>
              </wp:positionH>
              <wp:positionV relativeFrom="paragraph">
                <wp:posOffset>124248</wp:posOffset>
              </wp:positionV>
              <wp:extent cx="4320000" cy="0"/>
              <wp:effectExtent l="0" t="19050" r="23495" b="19050"/>
              <wp:wrapNone/>
              <wp:docPr id="15" name="Conector rec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31750" cmpd="dbl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407916" id="Conector recto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05pt,9.8pt" to="399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" strokecolor="#c00000" strokeweight="2.5pt">
              <v:stroke linestyle="thinThin" joinstyle="miter"/>
            </v:line>
          </w:pict>
        </mc:Fallback>
      </mc:AlternateContent>
    </w:r>
  </w:p>
  <w:p w:rsidR="006413EF" w:rsidRDefault="001B3719" w:rsidP="001B3719">
    <w:pPr>
      <w:jc w:val="center"/>
      <w:rPr>
        <w:rFonts w:ascii="Bookman Old Style" w:hAnsi="Bookman Old Style" w:cs="Arial"/>
        <w:b/>
        <w:color w:val="C00000"/>
        <w:sz w:val="56"/>
      </w:rPr>
    </w:pPr>
    <w:r w:rsidRPr="001B3719">
      <w:rPr>
        <w:rFonts w:ascii="Bookman Old Style" w:hAnsi="Bookman Old Style" w:cs="Arial"/>
        <w:b/>
        <w:color w:val="C00000"/>
        <w:sz w:val="56"/>
      </w:rPr>
      <w:softHyphen/>
    </w:r>
    <w:r w:rsidRPr="001B3719">
      <w:rPr>
        <w:rFonts w:ascii="Bookman Old Style" w:hAnsi="Bookman Old Style" w:cs="Arial"/>
        <w:b/>
        <w:color w:val="C00000"/>
        <w:sz w:val="56"/>
      </w:rPr>
      <w:softHyphen/>
    </w:r>
    <w:r w:rsidRPr="001B3719">
      <w:rPr>
        <w:rFonts w:ascii="Bookman Old Style" w:hAnsi="Bookman Old Style" w:cs="Arial"/>
        <w:b/>
        <w:color w:val="C00000"/>
        <w:sz w:val="56"/>
      </w:rPr>
      <w:softHyphen/>
    </w:r>
    <w:r w:rsidRPr="001B3719">
      <w:rPr>
        <w:rFonts w:ascii="Bookman Old Style" w:hAnsi="Bookman Old Style" w:cs="Arial"/>
        <w:b/>
        <w:color w:val="C00000"/>
        <w:sz w:val="56"/>
      </w:rPr>
      <w:softHyphen/>
    </w:r>
    <w:r w:rsidRPr="001B3719">
      <w:rPr>
        <w:rFonts w:ascii="Bookman Old Style" w:hAnsi="Bookman Old Style" w:cs="Arial"/>
        <w:b/>
        <w:color w:val="C00000"/>
        <w:sz w:val="56"/>
      </w:rPr>
      <w:softHyphen/>
    </w:r>
    <w:r w:rsidRPr="001B3719">
      <w:rPr>
        <w:rFonts w:ascii="Bookman Old Style" w:hAnsi="Bookman Old Style" w:cs="Arial"/>
        <w:b/>
        <w:color w:val="C00000"/>
        <w:sz w:val="56"/>
      </w:rPr>
      <w:softHyphen/>
    </w:r>
    <w:r w:rsidRPr="001B3719">
      <w:rPr>
        <w:rFonts w:ascii="Bookman Old Style" w:hAnsi="Bookman Old Style" w:cs="Arial"/>
        <w:b/>
        <w:color w:val="C00000"/>
        <w:sz w:val="56"/>
      </w:rPr>
      <w:softHyphen/>
    </w:r>
    <w:r w:rsidRPr="001B3719">
      <w:rPr>
        <w:rFonts w:ascii="Bookman Old Style" w:hAnsi="Bookman Old Style" w:cs="Arial"/>
        <w:b/>
        <w:color w:val="C00000"/>
        <w:sz w:val="56"/>
      </w:rPr>
      <w:softHyphen/>
    </w:r>
    <w:r w:rsidRPr="001B3719">
      <w:rPr>
        <w:rFonts w:ascii="Bookman Old Style" w:hAnsi="Bookman Old Style" w:cs="Arial"/>
        <w:b/>
        <w:color w:val="C00000"/>
        <w:sz w:val="56"/>
      </w:rPr>
      <w:softHyphen/>
    </w:r>
    <w:r w:rsidRPr="001B3719">
      <w:rPr>
        <w:rFonts w:ascii="Bookman Old Style" w:hAnsi="Bookman Old Style" w:cs="Arial"/>
        <w:b/>
        <w:color w:val="C00000"/>
        <w:sz w:val="56"/>
      </w:rPr>
      <w:softHyphen/>
    </w:r>
    <w:r w:rsidRPr="001B3719">
      <w:rPr>
        <w:rFonts w:ascii="Bookman Old Style" w:hAnsi="Bookman Old Style" w:cs="Arial"/>
        <w:b/>
        <w:color w:val="C00000"/>
        <w:sz w:val="56"/>
      </w:rPr>
      <w:softHyphen/>
    </w:r>
    <w:r w:rsidRPr="001B3719">
      <w:rPr>
        <w:rFonts w:ascii="Bookman Old Style" w:hAnsi="Bookman Old Style" w:cs="Arial"/>
        <w:b/>
        <w:color w:val="C00000"/>
        <w:sz w:val="56"/>
      </w:rPr>
      <w:softHyphen/>
    </w:r>
    <w:r w:rsidRPr="001B3719">
      <w:rPr>
        <w:rFonts w:ascii="Bookman Old Style" w:hAnsi="Bookman Old Style" w:cs="Arial"/>
        <w:b/>
        <w:color w:val="C00000"/>
        <w:sz w:val="56"/>
      </w:rPr>
      <w:softHyphen/>
    </w:r>
    <w:r w:rsidRPr="001B3719">
      <w:rPr>
        <w:rFonts w:ascii="Bookman Old Style" w:hAnsi="Bookman Old Style" w:cs="Arial"/>
        <w:b/>
        <w:color w:val="C00000"/>
        <w:sz w:val="56"/>
      </w:rPr>
      <w:softHyphen/>
    </w:r>
    <w:r w:rsidRPr="001B3719">
      <w:rPr>
        <w:rFonts w:ascii="Bookman Old Style" w:hAnsi="Bookman Old Style" w:cs="Arial"/>
        <w:b/>
        <w:color w:val="C00000"/>
        <w:sz w:val="56"/>
      </w:rPr>
      <w:softHyphen/>
    </w:r>
    <w:r w:rsidRPr="001B3719">
      <w:rPr>
        <w:rFonts w:ascii="Bookman Old Style" w:hAnsi="Bookman Old Style" w:cs="Arial"/>
        <w:b/>
        <w:color w:val="C00000"/>
        <w:sz w:val="56"/>
      </w:rPr>
      <w:softHyphen/>
    </w:r>
    <w:r w:rsidRPr="001B3719">
      <w:rPr>
        <w:rFonts w:ascii="Bookman Old Style" w:hAnsi="Bookman Old Style" w:cs="Arial"/>
        <w:b/>
        <w:color w:val="C00000"/>
        <w:sz w:val="56"/>
      </w:rPr>
      <w:softHyphen/>
    </w:r>
    <w:r w:rsidRPr="001B3719">
      <w:rPr>
        <w:rFonts w:ascii="Bookman Old Style" w:hAnsi="Bookman Old Style" w:cs="Arial"/>
        <w:b/>
        <w:color w:val="C00000"/>
        <w:sz w:val="56"/>
      </w:rPr>
      <w:softHyphen/>
    </w:r>
  </w:p>
  <w:p w:rsidR="001B3719" w:rsidRDefault="001B3719" w:rsidP="006413EF">
    <w:pPr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PROGRAMA ANUAL DE TRABAJO </w:t>
    </w:r>
    <w:r w:rsidR="00492FC2">
      <w:rPr>
        <w:rFonts w:ascii="Arial" w:hAnsi="Arial" w:cs="Arial"/>
        <w:b/>
        <w:sz w:val="18"/>
      </w:rPr>
      <w:t>SEPTIEMBRE 2019</w:t>
    </w:r>
    <w:r>
      <w:rPr>
        <w:rFonts w:ascii="Arial" w:hAnsi="Arial" w:cs="Arial"/>
        <w:b/>
        <w:sz w:val="18"/>
      </w:rPr>
      <w:t xml:space="preserve"> -  AGOSTO</w:t>
    </w:r>
    <w:r w:rsidR="00492FC2">
      <w:rPr>
        <w:rFonts w:ascii="Arial" w:hAnsi="Arial" w:cs="Arial"/>
        <w:b/>
        <w:sz w:val="18"/>
      </w:rPr>
      <w:t xml:space="preserve"> 2020</w:t>
    </w:r>
  </w:p>
  <w:p w:rsidR="00492FC2" w:rsidRPr="001B3719" w:rsidRDefault="00492FC2" w:rsidP="006413EF">
    <w:pPr>
      <w:jc w:val="center"/>
      <w:rPr>
        <w:rFonts w:ascii="Arial" w:hAnsi="Arial" w:cs="Arial"/>
        <w:b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71" w:rsidRDefault="006F6C08" w:rsidP="001B3719">
    <w:pPr>
      <w:jc w:val="center"/>
      <w:rPr>
        <w:rFonts w:ascii="Bookman Old Style" w:hAnsi="Bookman Old Style" w:cs="Arial"/>
        <w:b/>
        <w:sz w:val="28"/>
      </w:rPr>
    </w:pPr>
    <w:r w:rsidRPr="00664B1B">
      <w:rPr>
        <w:rFonts w:ascii="Bookman Old Style" w:hAnsi="Bookman Old Style"/>
        <w:b/>
        <w:noProof/>
        <w:sz w:val="144"/>
        <w:szCs w:val="56"/>
        <w:lang w:eastAsia="es-MX"/>
      </w:rPr>
      <w:drawing>
        <wp:anchor distT="0" distB="0" distL="114300" distR="114300" simplePos="0" relativeHeight="251670528" behindDoc="0" locked="0" layoutInCell="1" allowOverlap="1" wp14:anchorId="2541B33E" wp14:editId="64861DE0">
          <wp:simplePos x="0" y="0"/>
          <wp:positionH relativeFrom="margin">
            <wp:posOffset>-262255</wp:posOffset>
          </wp:positionH>
          <wp:positionV relativeFrom="paragraph">
            <wp:posOffset>-97155</wp:posOffset>
          </wp:positionV>
          <wp:extent cx="1019175" cy="1285875"/>
          <wp:effectExtent l="0" t="0" r="9525" b="9525"/>
          <wp:wrapSquare wrapText="bothSides"/>
          <wp:docPr id="1" name="Imagen 1" descr="C:\Users\Usuario\Pictures\Logotipo\png\LXIV Legislatura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Pictures\Logotipo\png\LXIV Legislatura_vertica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69" t="3789" r="9226" b="3986"/>
                  <a:stretch/>
                </pic:blipFill>
                <pic:spPr bwMode="auto">
                  <a:xfrm>
                    <a:off x="0" y="0"/>
                    <a:ext cx="10191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6971" w:rsidRPr="0067440C">
      <w:rPr>
        <w:rFonts w:ascii="Bookman Old Style" w:hAnsi="Bookman Old Style" w:cs="Arial"/>
        <w:b/>
        <w:sz w:val="28"/>
      </w:rPr>
      <w:t>COMISIÓN DE PESCA</w:t>
    </w:r>
  </w:p>
  <w:p w:rsidR="00516971" w:rsidRDefault="00516971" w:rsidP="001B3719">
    <w:pPr>
      <w:jc w:val="center"/>
      <w:rPr>
        <w:rFonts w:ascii="Bookman Old Style" w:hAnsi="Bookman Old Style" w:cs="Arial"/>
        <w:b/>
        <w:sz w:val="28"/>
      </w:rPr>
    </w:pPr>
    <w:r>
      <w:rPr>
        <w:rFonts w:ascii="Bookman Old Style" w:hAnsi="Bookman Old Style" w:cs="Arial"/>
        <w:b/>
        <w:noProof/>
        <w:color w:val="C00000"/>
        <w:sz w:val="56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09EBC7" wp14:editId="04A70CA2">
              <wp:simplePos x="0" y="0"/>
              <wp:positionH relativeFrom="margin">
                <wp:posOffset>2119630</wp:posOffset>
              </wp:positionH>
              <wp:positionV relativeFrom="paragraph">
                <wp:posOffset>31115</wp:posOffset>
              </wp:positionV>
              <wp:extent cx="4320000" cy="0"/>
              <wp:effectExtent l="0" t="19050" r="23495" b="19050"/>
              <wp:wrapNone/>
              <wp:docPr id="19" name="Conector rec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31750" cmpd="dbl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2F31F6" id="Conector recto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6.9pt,2.45pt" to="507.0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" strokecolor="#c00000" strokeweight="2.5pt">
              <v:stroke linestyle="thinThin" joinstyle="miter"/>
              <w10:wrap anchorx="margin"/>
            </v:line>
          </w:pict>
        </mc:Fallback>
      </mc:AlternateContent>
    </w:r>
  </w:p>
  <w:p w:rsidR="006F6C08" w:rsidRDefault="00516971" w:rsidP="006F6C08">
    <w:pPr>
      <w:jc w:val="center"/>
      <w:rPr>
        <w:rFonts w:ascii="Bookman Old Style" w:hAnsi="Bookman Old Style" w:cs="Arial"/>
        <w:b/>
        <w:color w:val="C00000"/>
        <w:sz w:val="56"/>
      </w:rPr>
    </w:pPr>
    <w:r>
      <w:rPr>
        <w:rFonts w:ascii="Bookman Old Style" w:hAnsi="Bookman Old Style" w:cs="Arial"/>
        <w:b/>
        <w:color w:val="C00000"/>
        <w:sz w:val="56"/>
      </w:rPr>
      <w:tab/>
    </w:r>
    <w:r w:rsidR="00FC6D1D">
      <w:rPr>
        <w:rFonts w:ascii="Bookman Old Style" w:hAnsi="Bookman Old Style" w:cs="Arial"/>
        <w:b/>
        <w:color w:val="C00000"/>
        <w:sz w:val="56"/>
      </w:rPr>
      <w:softHyphen/>
    </w:r>
    <w:r w:rsidR="00FC6D1D">
      <w:rPr>
        <w:rFonts w:ascii="Bookman Old Style" w:hAnsi="Bookman Old Style" w:cs="Arial"/>
        <w:b/>
        <w:color w:val="C00000"/>
        <w:sz w:val="56"/>
      </w:rPr>
      <w:softHyphen/>
    </w:r>
    <w:r w:rsidR="00FC6D1D">
      <w:rPr>
        <w:rFonts w:ascii="Bookman Old Style" w:hAnsi="Bookman Old Style" w:cs="Arial"/>
        <w:b/>
        <w:color w:val="C00000"/>
        <w:sz w:val="56"/>
      </w:rPr>
      <w:softHyphen/>
    </w:r>
    <w:r w:rsidR="00FC6D1D">
      <w:rPr>
        <w:rFonts w:ascii="Bookman Old Style" w:hAnsi="Bookman Old Style" w:cs="Arial"/>
        <w:b/>
        <w:color w:val="C00000"/>
        <w:sz w:val="56"/>
      </w:rPr>
      <w:softHyphen/>
    </w:r>
    <w:r w:rsidR="00FC6D1D">
      <w:rPr>
        <w:rFonts w:ascii="Bookman Old Style" w:hAnsi="Bookman Old Style" w:cs="Arial"/>
        <w:b/>
        <w:color w:val="C00000"/>
        <w:sz w:val="56"/>
      </w:rPr>
      <w:softHyphen/>
    </w:r>
    <w:r w:rsidR="00FC6D1D">
      <w:rPr>
        <w:rFonts w:ascii="Bookman Old Style" w:hAnsi="Bookman Old Style" w:cs="Arial"/>
        <w:b/>
        <w:color w:val="C00000"/>
        <w:sz w:val="56"/>
      </w:rPr>
      <w:softHyphen/>
    </w:r>
    <w:r w:rsidR="00FC6D1D">
      <w:rPr>
        <w:rFonts w:ascii="Bookman Old Style" w:hAnsi="Bookman Old Style" w:cs="Arial"/>
        <w:b/>
        <w:color w:val="C00000"/>
        <w:sz w:val="56"/>
      </w:rPr>
      <w:softHyphen/>
    </w:r>
    <w:r w:rsidR="00FC6D1D">
      <w:rPr>
        <w:rFonts w:ascii="Bookman Old Style" w:hAnsi="Bookman Old Style" w:cs="Arial"/>
        <w:b/>
        <w:color w:val="C00000"/>
        <w:sz w:val="56"/>
      </w:rPr>
      <w:softHyphen/>
    </w:r>
    <w:r w:rsidR="00FC6D1D">
      <w:rPr>
        <w:rFonts w:ascii="Bookman Old Style" w:hAnsi="Bookman Old Style" w:cs="Arial"/>
        <w:b/>
        <w:color w:val="C00000"/>
        <w:sz w:val="56"/>
      </w:rPr>
      <w:softHyphen/>
    </w:r>
    <w:r w:rsidR="00FC6D1D">
      <w:rPr>
        <w:rFonts w:ascii="Bookman Old Style" w:hAnsi="Bookman Old Style" w:cs="Arial"/>
        <w:b/>
        <w:color w:val="C00000"/>
        <w:sz w:val="56"/>
      </w:rPr>
      <w:softHyphen/>
    </w:r>
    <w:r w:rsidR="00FC6D1D">
      <w:rPr>
        <w:rFonts w:ascii="Bookman Old Style" w:hAnsi="Bookman Old Style" w:cs="Arial"/>
        <w:b/>
        <w:color w:val="C00000"/>
        <w:sz w:val="56"/>
      </w:rPr>
      <w:softHyphen/>
    </w:r>
    <w:r w:rsidR="00FC6D1D">
      <w:rPr>
        <w:rFonts w:ascii="Bookman Old Style" w:hAnsi="Bookman Old Style" w:cs="Arial"/>
        <w:b/>
        <w:color w:val="C00000"/>
        <w:sz w:val="56"/>
      </w:rPr>
      <w:softHyphen/>
    </w:r>
    <w:r w:rsidR="00FC6D1D">
      <w:rPr>
        <w:rFonts w:ascii="Bookman Old Style" w:hAnsi="Bookman Old Style" w:cs="Arial"/>
        <w:b/>
        <w:color w:val="C00000"/>
        <w:sz w:val="56"/>
      </w:rPr>
      <w:softHyphen/>
    </w:r>
    <w:r w:rsidR="00FC6D1D">
      <w:rPr>
        <w:rFonts w:ascii="Bookman Old Style" w:hAnsi="Bookman Old Style" w:cs="Arial"/>
        <w:b/>
        <w:color w:val="C00000"/>
        <w:sz w:val="56"/>
      </w:rPr>
      <w:softHyphen/>
    </w:r>
  </w:p>
  <w:p w:rsidR="006F6C08" w:rsidRDefault="006F6C08" w:rsidP="006F6C08">
    <w:pPr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PROGRAMA ANUAL DE TRABAJO SEPTIEMBRE 2019 -  AGOSTO 2020</w:t>
    </w:r>
  </w:p>
  <w:p w:rsidR="006F6C08" w:rsidRDefault="006F6C08" w:rsidP="00516971">
    <w:pPr>
      <w:tabs>
        <w:tab w:val="center" w:pos="6503"/>
      </w:tabs>
      <w:rPr>
        <w:rFonts w:ascii="Arial" w:hAnsi="Arial" w:cs="Arial"/>
        <w:b/>
        <w:sz w:val="18"/>
      </w:rPr>
    </w:pPr>
  </w:p>
  <w:p w:rsidR="00516971" w:rsidRPr="001B3719" w:rsidRDefault="00516971" w:rsidP="001B3719">
    <w:pPr>
      <w:jc w:val="center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71" w:rsidRDefault="006F6C08" w:rsidP="006F6C08">
    <w:pPr>
      <w:tabs>
        <w:tab w:val="left" w:pos="339"/>
        <w:tab w:val="center" w:pos="4419"/>
      </w:tabs>
      <w:jc w:val="center"/>
      <w:rPr>
        <w:rFonts w:ascii="Bookman Old Style" w:hAnsi="Bookman Old Style" w:cs="Arial"/>
        <w:b/>
        <w:sz w:val="28"/>
      </w:rPr>
    </w:pPr>
    <w:r w:rsidRPr="00664B1B">
      <w:rPr>
        <w:rFonts w:ascii="Bookman Old Style" w:hAnsi="Bookman Old Style"/>
        <w:b/>
        <w:noProof/>
        <w:sz w:val="144"/>
        <w:szCs w:val="56"/>
        <w:lang w:eastAsia="es-MX"/>
      </w:rPr>
      <w:drawing>
        <wp:anchor distT="0" distB="0" distL="114300" distR="114300" simplePos="0" relativeHeight="251672576" behindDoc="0" locked="0" layoutInCell="1" allowOverlap="1" wp14:anchorId="733E3FCF" wp14:editId="3622E794">
          <wp:simplePos x="0" y="0"/>
          <wp:positionH relativeFrom="margin">
            <wp:posOffset>-466725</wp:posOffset>
          </wp:positionH>
          <wp:positionV relativeFrom="paragraph">
            <wp:posOffset>8890</wp:posOffset>
          </wp:positionV>
          <wp:extent cx="1019175" cy="1285875"/>
          <wp:effectExtent l="0" t="0" r="9525" b="9525"/>
          <wp:wrapSquare wrapText="bothSides"/>
          <wp:docPr id="2" name="Imagen 2" descr="C:\Users\Usuario\Pictures\Logotipo\png\LXIV Legislatura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Pictures\Logotipo\png\LXIV Legislatura_vertica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69" t="3789" r="9226" b="3986"/>
                  <a:stretch/>
                </pic:blipFill>
                <pic:spPr bwMode="auto">
                  <a:xfrm>
                    <a:off x="0" y="0"/>
                    <a:ext cx="10191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6971" w:rsidRPr="0067440C">
      <w:rPr>
        <w:rFonts w:ascii="Bookman Old Style" w:hAnsi="Bookman Old Style" w:cs="Arial"/>
        <w:b/>
        <w:sz w:val="28"/>
      </w:rPr>
      <w:t>COMISIÓN DE PESCA</w:t>
    </w:r>
  </w:p>
  <w:p w:rsidR="00516971" w:rsidRDefault="00516971" w:rsidP="001B3719">
    <w:pPr>
      <w:jc w:val="center"/>
      <w:rPr>
        <w:rFonts w:ascii="Bookman Old Style" w:hAnsi="Bookman Old Style" w:cs="Arial"/>
        <w:b/>
        <w:sz w:val="28"/>
      </w:rPr>
    </w:pPr>
    <w:r>
      <w:rPr>
        <w:rFonts w:ascii="Bookman Old Style" w:hAnsi="Bookman Old Style" w:cs="Arial"/>
        <w:b/>
        <w:noProof/>
        <w:color w:val="C00000"/>
        <w:sz w:val="56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DDB8F8" wp14:editId="5C0DC527">
              <wp:simplePos x="0" y="0"/>
              <wp:positionH relativeFrom="margin">
                <wp:posOffset>1253490</wp:posOffset>
              </wp:positionH>
              <wp:positionV relativeFrom="paragraph">
                <wp:posOffset>140335</wp:posOffset>
              </wp:positionV>
              <wp:extent cx="3816000" cy="0"/>
              <wp:effectExtent l="0" t="19050" r="32385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16000" cy="0"/>
                      </a:xfrm>
                      <a:prstGeom prst="line">
                        <a:avLst/>
                      </a:prstGeom>
                      <a:ln w="31750" cmpd="dbl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7EA301" id="Conector recto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8.7pt,11.05pt" to="399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" strokecolor="#c00000" strokeweight="2.5pt">
              <v:stroke linestyle="thinThin" joinstyle="miter"/>
              <w10:wrap anchorx="margin"/>
            </v:line>
          </w:pict>
        </mc:Fallback>
      </mc:AlternateContent>
    </w:r>
  </w:p>
  <w:p w:rsidR="006F6C08" w:rsidRDefault="00FC6D1D" w:rsidP="006F6C08">
    <w:pPr>
      <w:jc w:val="center"/>
      <w:rPr>
        <w:rFonts w:ascii="Bookman Old Style" w:hAnsi="Bookman Old Style" w:cs="Arial"/>
        <w:b/>
        <w:color w:val="C00000"/>
        <w:sz w:val="56"/>
      </w:rPr>
    </w:pPr>
    <w:r>
      <w:rPr>
        <w:rFonts w:ascii="Bookman Old Style" w:hAnsi="Bookman Old Style" w:cs="Arial"/>
        <w:b/>
        <w:color w:val="C00000"/>
        <w:sz w:val="56"/>
      </w:rPr>
      <w:softHyphen/>
    </w:r>
    <w:r>
      <w:rPr>
        <w:rFonts w:ascii="Bookman Old Style" w:hAnsi="Bookman Old Style" w:cs="Arial"/>
        <w:b/>
        <w:color w:val="C00000"/>
        <w:sz w:val="56"/>
      </w:rPr>
      <w:softHyphen/>
    </w:r>
    <w:r>
      <w:rPr>
        <w:rFonts w:ascii="Bookman Old Style" w:hAnsi="Bookman Old Style" w:cs="Arial"/>
        <w:b/>
        <w:color w:val="C00000"/>
        <w:sz w:val="56"/>
      </w:rPr>
      <w:softHyphen/>
    </w:r>
    <w:r>
      <w:rPr>
        <w:rFonts w:ascii="Bookman Old Style" w:hAnsi="Bookman Old Style" w:cs="Arial"/>
        <w:b/>
        <w:color w:val="C00000"/>
        <w:sz w:val="56"/>
      </w:rPr>
      <w:softHyphen/>
    </w:r>
    <w:r>
      <w:rPr>
        <w:rFonts w:ascii="Bookman Old Style" w:hAnsi="Bookman Old Style" w:cs="Arial"/>
        <w:b/>
        <w:color w:val="C00000"/>
        <w:sz w:val="56"/>
      </w:rPr>
      <w:softHyphen/>
    </w:r>
    <w:r>
      <w:rPr>
        <w:rFonts w:ascii="Bookman Old Style" w:hAnsi="Bookman Old Style" w:cs="Arial"/>
        <w:b/>
        <w:color w:val="C00000"/>
        <w:sz w:val="56"/>
      </w:rPr>
      <w:softHyphen/>
    </w:r>
    <w:r>
      <w:rPr>
        <w:rFonts w:ascii="Bookman Old Style" w:hAnsi="Bookman Old Style" w:cs="Arial"/>
        <w:b/>
        <w:color w:val="C00000"/>
        <w:sz w:val="56"/>
      </w:rPr>
      <w:softHyphen/>
    </w:r>
    <w:r>
      <w:rPr>
        <w:rFonts w:ascii="Bookman Old Style" w:hAnsi="Bookman Old Style" w:cs="Arial"/>
        <w:b/>
        <w:color w:val="C00000"/>
        <w:sz w:val="56"/>
      </w:rPr>
      <w:softHyphen/>
    </w:r>
    <w:r>
      <w:rPr>
        <w:rFonts w:ascii="Bookman Old Style" w:hAnsi="Bookman Old Style" w:cs="Arial"/>
        <w:b/>
        <w:color w:val="C00000"/>
        <w:sz w:val="56"/>
      </w:rPr>
      <w:softHyphen/>
    </w:r>
    <w:r>
      <w:rPr>
        <w:rFonts w:ascii="Bookman Old Style" w:hAnsi="Bookman Old Style" w:cs="Arial"/>
        <w:b/>
        <w:color w:val="C00000"/>
        <w:sz w:val="56"/>
      </w:rPr>
      <w:softHyphen/>
    </w:r>
    <w:r>
      <w:rPr>
        <w:rFonts w:ascii="Bookman Old Style" w:hAnsi="Bookman Old Style" w:cs="Arial"/>
        <w:b/>
        <w:color w:val="C00000"/>
        <w:sz w:val="56"/>
      </w:rPr>
      <w:softHyphen/>
    </w:r>
    <w:r>
      <w:rPr>
        <w:rFonts w:ascii="Bookman Old Style" w:hAnsi="Bookman Old Style" w:cs="Arial"/>
        <w:b/>
        <w:color w:val="C00000"/>
        <w:sz w:val="56"/>
      </w:rPr>
      <w:softHyphen/>
    </w:r>
    <w:r>
      <w:rPr>
        <w:rFonts w:ascii="Bookman Old Style" w:hAnsi="Bookman Old Style" w:cs="Arial"/>
        <w:b/>
        <w:color w:val="C00000"/>
        <w:sz w:val="56"/>
      </w:rPr>
      <w:softHyphen/>
    </w:r>
    <w:r>
      <w:rPr>
        <w:rFonts w:ascii="Bookman Old Style" w:hAnsi="Bookman Old Style" w:cs="Arial"/>
        <w:b/>
        <w:color w:val="C00000"/>
        <w:sz w:val="56"/>
      </w:rPr>
      <w:softHyphen/>
    </w:r>
    <w:r>
      <w:rPr>
        <w:rFonts w:ascii="Bookman Old Style" w:hAnsi="Bookman Old Style" w:cs="Arial"/>
        <w:b/>
        <w:color w:val="C00000"/>
        <w:sz w:val="56"/>
      </w:rPr>
      <w:softHyphen/>
    </w:r>
  </w:p>
  <w:p w:rsidR="006F6C08" w:rsidRDefault="006F6C08" w:rsidP="006F6C08">
    <w:pPr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PROGRAMA ANUAL DE TRABAJO SEPTIEMBRE 2019 -  AGOSTO 2020</w:t>
    </w:r>
  </w:p>
  <w:p w:rsidR="00516971" w:rsidRPr="001B3719" w:rsidRDefault="00516971" w:rsidP="006F6C08">
    <w:pPr>
      <w:tabs>
        <w:tab w:val="center" w:pos="6503"/>
      </w:tabs>
      <w:jc w:val="center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65C3"/>
      </v:shape>
    </w:pict>
  </w:numPicBullet>
  <w:abstractNum w:abstractNumId="0" w15:restartNumberingAfterBreak="0">
    <w:nsid w:val="04F71F09"/>
    <w:multiLevelType w:val="hybridMultilevel"/>
    <w:tmpl w:val="39C0EA48"/>
    <w:lvl w:ilvl="0" w:tplc="9E1C25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43073"/>
    <w:multiLevelType w:val="multilevel"/>
    <w:tmpl w:val="C5BE84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2" w15:restartNumberingAfterBreak="0">
    <w:nsid w:val="2076019D"/>
    <w:multiLevelType w:val="hybridMultilevel"/>
    <w:tmpl w:val="5A4C87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27E9B"/>
    <w:multiLevelType w:val="hybridMultilevel"/>
    <w:tmpl w:val="8DB251A8"/>
    <w:lvl w:ilvl="0" w:tplc="E5EACB8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D42E9"/>
    <w:multiLevelType w:val="hybridMultilevel"/>
    <w:tmpl w:val="25EE80B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E3FF1"/>
    <w:multiLevelType w:val="hybridMultilevel"/>
    <w:tmpl w:val="960494F8"/>
    <w:lvl w:ilvl="0" w:tplc="EA0C9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B3794"/>
    <w:multiLevelType w:val="hybridMultilevel"/>
    <w:tmpl w:val="50FA1A86"/>
    <w:lvl w:ilvl="0" w:tplc="08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78515B"/>
    <w:multiLevelType w:val="hybridMultilevel"/>
    <w:tmpl w:val="9EA6DEBC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FC"/>
    <w:rsid w:val="000109DB"/>
    <w:rsid w:val="0007047E"/>
    <w:rsid w:val="000D6334"/>
    <w:rsid w:val="000F5683"/>
    <w:rsid w:val="001254AB"/>
    <w:rsid w:val="00151B39"/>
    <w:rsid w:val="001B3719"/>
    <w:rsid w:val="00220570"/>
    <w:rsid w:val="00222E92"/>
    <w:rsid w:val="00232DB4"/>
    <w:rsid w:val="002544FC"/>
    <w:rsid w:val="002D0181"/>
    <w:rsid w:val="00325BC1"/>
    <w:rsid w:val="00373CB4"/>
    <w:rsid w:val="003E127A"/>
    <w:rsid w:val="00492FC2"/>
    <w:rsid w:val="004A1404"/>
    <w:rsid w:val="004E2750"/>
    <w:rsid w:val="00516971"/>
    <w:rsid w:val="006413EF"/>
    <w:rsid w:val="006C336E"/>
    <w:rsid w:val="006F6C08"/>
    <w:rsid w:val="008001D1"/>
    <w:rsid w:val="0081407D"/>
    <w:rsid w:val="008357D3"/>
    <w:rsid w:val="00883616"/>
    <w:rsid w:val="00953053"/>
    <w:rsid w:val="00B06F40"/>
    <w:rsid w:val="00B11D55"/>
    <w:rsid w:val="00B90545"/>
    <w:rsid w:val="00C61C45"/>
    <w:rsid w:val="00C76CA8"/>
    <w:rsid w:val="00D90649"/>
    <w:rsid w:val="00E7192C"/>
    <w:rsid w:val="00F237CF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AA3EB"/>
  <w15:chartTrackingRefBased/>
  <w15:docId w15:val="{193A26BE-FA9B-4514-9E2B-E0251D76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44FC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88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3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3CB4"/>
  </w:style>
  <w:style w:type="paragraph" w:styleId="Piedepgina">
    <w:name w:val="footer"/>
    <w:basedOn w:val="Normal"/>
    <w:link w:val="PiedepginaCar"/>
    <w:uiPriority w:val="99"/>
    <w:unhideWhenUsed/>
    <w:rsid w:val="00373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CB4"/>
  </w:style>
  <w:style w:type="paragraph" w:styleId="Textodeglobo">
    <w:name w:val="Balloon Text"/>
    <w:basedOn w:val="Normal"/>
    <w:link w:val="TextodegloboCar"/>
    <w:uiPriority w:val="99"/>
    <w:semiHidden/>
    <w:unhideWhenUsed/>
    <w:rsid w:val="00516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3B8C2-E9A1-4D89-BF74-A621108E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1294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2019-09-18T17:08:00Z</cp:lastPrinted>
  <dcterms:created xsi:type="dcterms:W3CDTF">2019-09-18T17:16:00Z</dcterms:created>
  <dcterms:modified xsi:type="dcterms:W3CDTF">2019-09-18T17:16:00Z</dcterms:modified>
</cp:coreProperties>
</file>